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C31B3F" w14:textId="77777777" w:rsidR="00053008" w:rsidRDefault="00053008" w:rsidP="00053008">
      <w:pPr>
        <w:spacing w:line="480" w:lineRule="auto"/>
        <w:rPr>
          <w:rFonts w:cstheme="minorHAnsi"/>
          <w:b/>
          <w:bCs/>
        </w:rPr>
      </w:pPr>
      <w:r w:rsidRPr="00357D87">
        <w:rPr>
          <w:rFonts w:cstheme="minorHAnsi"/>
          <w:b/>
          <w:bCs/>
        </w:rPr>
        <w:t>Supplementa</w:t>
      </w:r>
      <w:r>
        <w:rPr>
          <w:rFonts w:cstheme="minorHAnsi"/>
          <w:b/>
          <w:bCs/>
        </w:rPr>
        <w:t xml:space="preserve">ry </w:t>
      </w:r>
      <w:r w:rsidRPr="00357D87">
        <w:rPr>
          <w:rFonts w:cstheme="minorHAnsi"/>
          <w:b/>
          <w:bCs/>
        </w:rPr>
        <w:t>material</w:t>
      </w:r>
    </w:p>
    <w:p w14:paraId="39F912E8" w14:textId="63AF5E2A" w:rsidR="00053008" w:rsidRPr="00C5091C" w:rsidRDefault="00053008" w:rsidP="00053008">
      <w:pPr>
        <w:spacing w:line="480" w:lineRule="auto"/>
        <w:rPr>
          <w:rFonts w:cstheme="minorHAnsi"/>
        </w:rPr>
      </w:pPr>
      <w:r w:rsidRPr="00053008">
        <w:rPr>
          <w:rFonts w:cstheme="minorHAnsi"/>
          <w:b/>
          <w:bCs/>
        </w:rPr>
        <w:t>Supplementary material 1</w:t>
      </w:r>
      <w:r w:rsidRPr="00C5091C">
        <w:rPr>
          <w:rFonts w:cstheme="minorHAnsi"/>
        </w:rPr>
        <w:t>:</w:t>
      </w:r>
      <w:r>
        <w:rPr>
          <w:rFonts w:cstheme="minorHAnsi"/>
        </w:rPr>
        <w:t xml:space="preserve"> </w:t>
      </w:r>
      <w:r w:rsidRPr="00357D87">
        <w:rPr>
          <w:rFonts w:eastAsia="Times New Roman" w:cstheme="minorHAnsi"/>
          <w:color w:val="000000"/>
          <w:lang w:eastAsia="de-DE"/>
        </w:rPr>
        <w:t xml:space="preserve">The distributions of </w:t>
      </w:r>
      <w:r>
        <w:rPr>
          <w:rFonts w:eastAsia="Times New Roman" w:cstheme="minorHAnsi"/>
          <w:color w:val="000000"/>
          <w:lang w:eastAsia="de-DE"/>
        </w:rPr>
        <w:t>vertebral</w:t>
      </w:r>
      <w:r w:rsidRPr="00357D87">
        <w:rPr>
          <w:rFonts w:eastAsia="Times New Roman" w:cstheme="minorHAnsi"/>
          <w:color w:val="000000"/>
          <w:lang w:eastAsia="de-DE"/>
        </w:rPr>
        <w:t xml:space="preserve"> fractures by anatomical location</w:t>
      </w:r>
      <w:r>
        <w:rPr>
          <w:rFonts w:eastAsia="Times New Roman" w:cstheme="minorHAnsi"/>
          <w:color w:val="000000"/>
          <w:lang w:eastAsia="de-DE"/>
        </w:rPr>
        <w:t xml:space="preserve"> (A: Atlas &amp; Axis; B: </w:t>
      </w:r>
      <w:proofErr w:type="spellStart"/>
      <w:r>
        <w:rPr>
          <w:rFonts w:eastAsia="Times New Roman" w:cstheme="minorHAnsi"/>
          <w:color w:val="000000"/>
          <w:lang w:eastAsia="de-DE"/>
        </w:rPr>
        <w:t>Subaxial</w:t>
      </w:r>
      <w:proofErr w:type="spellEnd"/>
      <w:r>
        <w:rPr>
          <w:rFonts w:eastAsia="Times New Roman" w:cstheme="minorHAnsi"/>
          <w:color w:val="000000"/>
          <w:lang w:eastAsia="de-DE"/>
        </w:rPr>
        <w:t xml:space="preserve"> cervical spine; C: Thoracic spine; D: Lumbar spine; E: Sacrum; F: Coccygis)</w:t>
      </w:r>
      <w:r w:rsidRPr="00357D87">
        <w:rPr>
          <w:rFonts w:eastAsia="Times New Roman" w:cstheme="minorHAnsi"/>
          <w:color w:val="000000"/>
          <w:lang w:eastAsia="de-DE"/>
        </w:rPr>
        <w:t xml:space="preserve"> </w:t>
      </w:r>
      <w:r>
        <w:rPr>
          <w:rFonts w:eastAsia="Times New Roman" w:cstheme="minorHAnsi"/>
          <w:color w:val="000000"/>
          <w:lang w:eastAsia="de-DE"/>
        </w:rPr>
        <w:t xml:space="preserve">for each year from 2009 to 2019 based on the </w:t>
      </w:r>
      <w:proofErr w:type="spellStart"/>
      <w:r>
        <w:rPr>
          <w:rFonts w:eastAsia="Times New Roman" w:cstheme="minorHAnsi"/>
          <w:color w:val="000000"/>
          <w:lang w:eastAsia="de-DE"/>
        </w:rPr>
        <w:t>Destatis</w:t>
      </w:r>
      <w:proofErr w:type="spellEnd"/>
      <w:r>
        <w:rPr>
          <w:rFonts w:eastAsia="Times New Roman" w:cstheme="minorHAnsi"/>
          <w:color w:val="000000"/>
          <w:lang w:eastAsia="de-DE"/>
        </w:rPr>
        <w:t xml:space="preserve"> data. </w:t>
      </w:r>
      <w:r w:rsidRPr="00B77CE3">
        <w:rPr>
          <w:rFonts w:eastAsia="Times New Roman" w:cstheme="minorHAnsi"/>
          <w:color w:val="000000"/>
          <w:lang w:eastAsia="de-DE"/>
        </w:rPr>
        <w:t>Differentiation by age decade and gender</w:t>
      </w:r>
      <w:r>
        <w:rPr>
          <w:rFonts w:eastAsia="Times New Roman" w:cstheme="minorHAnsi"/>
          <w:color w:val="000000"/>
          <w:lang w:eastAsia="de-DE"/>
        </w:rPr>
        <w:t>.</w:t>
      </w:r>
    </w:p>
    <w:p w14:paraId="23573203" w14:textId="77777777" w:rsidR="00053008" w:rsidRDefault="00053008" w:rsidP="00053008">
      <w:pPr>
        <w:spacing w:line="480" w:lineRule="auto"/>
        <w:rPr>
          <w:rFonts w:cstheme="minorHAnsi"/>
          <w:b/>
          <w:bCs/>
        </w:rPr>
      </w:pPr>
    </w:p>
    <w:p w14:paraId="63266DDC" w14:textId="77777777" w:rsidR="00053008" w:rsidRPr="00357D87" w:rsidRDefault="00053008" w:rsidP="00053008">
      <w:pPr>
        <w:spacing w:line="48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Supplementary material 2: </w:t>
      </w:r>
      <w:r w:rsidRPr="00C5091C">
        <w:rPr>
          <w:rFonts w:cstheme="minorHAnsi"/>
        </w:rPr>
        <w:t xml:space="preserve">Total numbers of </w:t>
      </w:r>
      <w:r>
        <w:rPr>
          <w:rFonts w:cstheme="minorHAnsi"/>
        </w:rPr>
        <w:t>vertebral</w:t>
      </w:r>
      <w:r w:rsidRPr="00C5091C">
        <w:rPr>
          <w:rFonts w:cstheme="minorHAnsi"/>
        </w:rPr>
        <w:t xml:space="preserve"> fractures depending on anatomical localization for each year from 2009 to 2019, relative change to 2009 and incidence per 100,000 inhabitants</w:t>
      </w:r>
      <w:r>
        <w:rPr>
          <w:rFonts w:cstheme="minorHAnsi"/>
        </w:rPr>
        <w:t xml:space="preserve">, based on the </w:t>
      </w:r>
      <w:proofErr w:type="spellStart"/>
      <w:r>
        <w:rPr>
          <w:rFonts w:cstheme="minorHAnsi"/>
        </w:rPr>
        <w:t>Destatis</w:t>
      </w:r>
      <w:proofErr w:type="spellEnd"/>
      <w:r>
        <w:rPr>
          <w:rFonts w:cstheme="minorHAnsi"/>
        </w:rPr>
        <w:t xml:space="preserve"> data</w:t>
      </w:r>
      <w:r w:rsidRPr="00C5091C">
        <w:rPr>
          <w:rFonts w:cstheme="minorHAnsi"/>
        </w:rPr>
        <w:t>.</w:t>
      </w:r>
    </w:p>
    <w:p w14:paraId="545189C8" w14:textId="77777777" w:rsidR="00053008" w:rsidRPr="00357D87" w:rsidRDefault="00053008" w:rsidP="00053008">
      <w:pPr>
        <w:spacing w:line="480" w:lineRule="auto"/>
        <w:rPr>
          <w:rFonts w:cstheme="minorHAnsi"/>
          <w:b/>
          <w:bCs/>
        </w:rPr>
      </w:pPr>
    </w:p>
    <w:p w14:paraId="571F96F8" w14:textId="77777777" w:rsidR="00053008" w:rsidRDefault="00053008" w:rsidP="00053008">
      <w:pPr>
        <w:pStyle w:val="CitaviBibliographyEntry"/>
        <w:spacing w:line="480" w:lineRule="auto"/>
        <w:rPr>
          <w:rFonts w:cstheme="minorHAnsi"/>
          <w:noProof/>
        </w:rPr>
      </w:pPr>
      <w:r w:rsidRPr="00C5091C">
        <w:rPr>
          <w:rFonts w:cstheme="minorHAnsi"/>
          <w:b/>
          <w:bCs/>
          <w:noProof/>
        </w:rPr>
        <w:t>Supplementary material 3:</w:t>
      </w:r>
      <w:r>
        <w:rPr>
          <w:rFonts w:cstheme="minorHAnsi"/>
          <w:b/>
          <w:bCs/>
          <w:noProof/>
        </w:rPr>
        <w:t xml:space="preserve"> </w:t>
      </w:r>
      <w:r w:rsidRPr="00C5091C">
        <w:rPr>
          <w:rFonts w:cstheme="minorHAnsi"/>
          <w:noProof/>
        </w:rPr>
        <w:t>List of the 50 most commonly used G-DRG codes</w:t>
      </w:r>
      <w:r>
        <w:rPr>
          <w:rFonts w:cstheme="minorHAnsi"/>
          <w:noProof/>
        </w:rPr>
        <w:t xml:space="preserve"> (at least 0.05% of all cases)</w:t>
      </w:r>
      <w:r w:rsidRPr="00C5091C">
        <w:rPr>
          <w:rFonts w:cstheme="minorHAnsi"/>
          <w:noProof/>
        </w:rPr>
        <w:t xml:space="preserve"> for cases with </w:t>
      </w:r>
      <w:r>
        <w:rPr>
          <w:rFonts w:cstheme="minorHAnsi"/>
          <w:noProof/>
        </w:rPr>
        <w:t>vertebral</w:t>
      </w:r>
      <w:r w:rsidRPr="00C5091C">
        <w:rPr>
          <w:rFonts w:cstheme="minorHAnsi"/>
          <w:noProof/>
        </w:rPr>
        <w:t xml:space="preserve"> fractures in 2019 with number</w:t>
      </w:r>
      <w:r>
        <w:rPr>
          <w:rFonts w:cstheme="minorHAnsi"/>
          <w:noProof/>
        </w:rPr>
        <w:t>s</w:t>
      </w:r>
      <w:r w:rsidRPr="00C5091C">
        <w:rPr>
          <w:rFonts w:cstheme="minorHAnsi"/>
          <w:noProof/>
        </w:rPr>
        <w:t xml:space="preserve"> of total cases, share of cases, costs per case</w:t>
      </w:r>
      <w:r>
        <w:rPr>
          <w:rFonts w:cstheme="minorHAnsi"/>
          <w:noProof/>
        </w:rPr>
        <w:t xml:space="preserve"> [€],</w:t>
      </w:r>
      <w:r w:rsidRPr="00C5091C">
        <w:rPr>
          <w:rFonts w:cstheme="minorHAnsi"/>
          <w:noProof/>
        </w:rPr>
        <w:t xml:space="preserve"> calculated </w:t>
      </w:r>
      <w:r>
        <w:rPr>
          <w:rFonts w:cstheme="minorHAnsi"/>
          <w:noProof/>
        </w:rPr>
        <w:t xml:space="preserve">sum </w:t>
      </w:r>
      <w:r w:rsidRPr="00C5091C">
        <w:rPr>
          <w:rFonts w:cstheme="minorHAnsi"/>
          <w:noProof/>
        </w:rPr>
        <w:t>costs</w:t>
      </w:r>
      <w:r>
        <w:rPr>
          <w:rFonts w:cstheme="minorHAnsi"/>
          <w:noProof/>
        </w:rPr>
        <w:t xml:space="preserve"> per G-DRG</w:t>
      </w:r>
      <w:r w:rsidRPr="00C5091C">
        <w:rPr>
          <w:rFonts w:cstheme="minorHAnsi"/>
          <w:noProof/>
        </w:rPr>
        <w:t xml:space="preserve"> </w:t>
      </w:r>
      <w:r>
        <w:rPr>
          <w:rFonts w:cstheme="minorHAnsi"/>
          <w:noProof/>
        </w:rPr>
        <w:t xml:space="preserve">[€] </w:t>
      </w:r>
      <w:r w:rsidRPr="00C5091C">
        <w:rPr>
          <w:rFonts w:cstheme="minorHAnsi"/>
          <w:noProof/>
        </w:rPr>
        <w:t>and shares of overall costs.</w:t>
      </w:r>
      <w:r>
        <w:rPr>
          <w:rFonts w:cstheme="minorHAnsi"/>
          <w:noProof/>
        </w:rPr>
        <w:t xml:space="preserve"> Alphabetical sorting. Based on the InEK Data Browser.</w:t>
      </w:r>
    </w:p>
    <w:p w14:paraId="37E87A93" w14:textId="77777777" w:rsidR="00130F2D" w:rsidRPr="00053008" w:rsidRDefault="00130F2D" w:rsidP="00053008"/>
    <w:sectPr w:rsidR="00130F2D" w:rsidRPr="0005300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CD4"/>
    <w:rsid w:val="00053008"/>
    <w:rsid w:val="00130F2D"/>
    <w:rsid w:val="002360EE"/>
    <w:rsid w:val="00482A54"/>
    <w:rsid w:val="00523DC8"/>
    <w:rsid w:val="00597A74"/>
    <w:rsid w:val="007A2CD4"/>
    <w:rsid w:val="00991DA7"/>
    <w:rsid w:val="00DA3434"/>
    <w:rsid w:val="00E23077"/>
    <w:rsid w:val="00E75BD5"/>
    <w:rsid w:val="00F42D90"/>
    <w:rsid w:val="00F8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3EAC"/>
  <w15:chartTrackingRefBased/>
  <w15:docId w15:val="{24604697-3A69-4164-BD94-5C98DD24A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300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360EE"/>
    <w:rPr>
      <w:color w:val="0000FF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F42D9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053008"/>
    <w:pPr>
      <w:spacing w:after="120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05300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Siegmund Lang</dc:creator>
  <cp:keywords/>
  <dc:description/>
  <cp:lastModifiedBy>Siegmund Lang</cp:lastModifiedBy>
  <cp:revision>2</cp:revision>
  <dcterms:created xsi:type="dcterms:W3CDTF">2021-12-18T21:05:00Z</dcterms:created>
  <dcterms:modified xsi:type="dcterms:W3CDTF">2021-12-18T21:05:00Z</dcterms:modified>
</cp:coreProperties>
</file>