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4B44" w:rsidRPr="00302E1E" w:rsidRDefault="005D4B44" w:rsidP="005D4B44">
      <w:pPr>
        <w:spacing w:after="0" w:line="360" w:lineRule="auto"/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02E1E">
        <w:rPr>
          <w:rFonts w:asciiTheme="majorBidi" w:hAnsiTheme="majorBidi" w:cstheme="majorBidi"/>
          <w:b/>
          <w:bCs/>
          <w:sz w:val="24"/>
          <w:szCs w:val="24"/>
        </w:rPr>
        <w:t>“Health Technology Assessment in High, Middle and Low-income Countries: New Systematic and Interdisciplinary Approach for Sound Informed-policymaking”</w:t>
      </w:r>
    </w:p>
    <w:p w:rsidR="005D4B44" w:rsidRDefault="005D4B44" w:rsidP="005621EA">
      <w:pPr>
        <w:rPr>
          <w:rFonts w:cs="Arial"/>
        </w:rPr>
      </w:pPr>
    </w:p>
    <w:p w:rsidR="005D4B44" w:rsidRPr="007005E5" w:rsidRDefault="005D4B44" w:rsidP="005D4B44">
      <w:pPr>
        <w:spacing w:after="0" w:line="480" w:lineRule="auto"/>
        <w:ind w:left="142" w:hanging="142"/>
        <w:jc w:val="both"/>
        <w:rPr>
          <w:rFonts w:asciiTheme="majorBidi" w:hAnsiTheme="majorBidi" w:cstheme="majorBidi"/>
          <w:b/>
          <w:bCs/>
          <w:sz w:val="24"/>
          <w:szCs w:val="24"/>
          <w:lang w:eastAsia="en-GB"/>
        </w:rPr>
      </w:pPr>
      <w:r>
        <w:rPr>
          <w:rFonts w:asciiTheme="majorBidi" w:hAnsiTheme="majorBidi" w:cstheme="majorBidi"/>
          <w:b/>
          <w:bCs/>
          <w:sz w:val="24"/>
          <w:szCs w:val="24"/>
          <w:lang w:eastAsia="en-GB"/>
        </w:rPr>
        <w:t xml:space="preserve">Supplements </w:t>
      </w:r>
      <w:r w:rsidRPr="007005E5">
        <w:rPr>
          <w:rFonts w:asciiTheme="majorBidi" w:hAnsiTheme="majorBidi" w:cstheme="majorBidi"/>
          <w:b/>
          <w:bCs/>
          <w:sz w:val="24"/>
          <w:szCs w:val="24"/>
          <w:lang w:eastAsia="en-GB"/>
        </w:rPr>
        <w:t xml:space="preserve"> </w:t>
      </w:r>
    </w:p>
    <w:p w:rsidR="005D4B44" w:rsidRPr="007005E5" w:rsidRDefault="005D4B44" w:rsidP="005D4B44">
      <w:pPr>
        <w:pStyle w:val="ListParagraph"/>
        <w:numPr>
          <w:ilvl w:val="0"/>
          <w:numId w:val="2"/>
        </w:num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  <w:lang w:eastAsia="en-GB"/>
        </w:rPr>
      </w:pPr>
      <w:r w:rsidRPr="007005E5">
        <w:rPr>
          <w:rFonts w:asciiTheme="majorBidi" w:hAnsiTheme="majorBidi" w:cstheme="majorBidi"/>
          <w:b/>
          <w:bCs/>
          <w:sz w:val="24"/>
          <w:szCs w:val="24"/>
          <w:lang w:eastAsia="en-GB"/>
        </w:rPr>
        <w:t>Figures</w:t>
      </w:r>
    </w:p>
    <w:p w:rsidR="005D4B44" w:rsidRDefault="005D4B44" w:rsidP="005D4B44">
      <w:pPr>
        <w:rPr>
          <w:rFonts w:asciiTheme="majorBidi" w:hAnsiTheme="majorBidi" w:cstheme="majorBidi"/>
          <w:sz w:val="24"/>
          <w:szCs w:val="24"/>
          <w:lang w:eastAsia="en-GB"/>
        </w:rPr>
      </w:pPr>
      <w:r>
        <w:rPr>
          <w:rFonts w:asciiTheme="majorBidi" w:hAnsiTheme="majorBidi" w:cstheme="majorBidi"/>
          <w:sz w:val="24"/>
          <w:szCs w:val="24"/>
          <w:lang w:eastAsia="en-GB"/>
        </w:rPr>
        <w:t xml:space="preserve">Figure 1: </w:t>
      </w:r>
      <w:r w:rsidRPr="007005E5">
        <w:rPr>
          <w:rFonts w:asciiTheme="majorBidi" w:hAnsiTheme="majorBidi" w:cstheme="majorBidi"/>
          <w:sz w:val="24"/>
          <w:szCs w:val="24"/>
          <w:lang w:eastAsia="en-GB"/>
        </w:rPr>
        <w:t>EMR countries spend</w:t>
      </w:r>
      <w:r>
        <w:rPr>
          <w:rFonts w:asciiTheme="majorBidi" w:hAnsiTheme="majorBidi" w:cstheme="majorBidi"/>
          <w:sz w:val="24"/>
          <w:szCs w:val="24"/>
          <w:lang w:eastAsia="en-GB"/>
        </w:rPr>
        <w:t xml:space="preserve">ing </w:t>
      </w:r>
      <w:r w:rsidRPr="007005E5">
        <w:rPr>
          <w:rFonts w:asciiTheme="majorBidi" w:hAnsiTheme="majorBidi" w:cstheme="majorBidi"/>
          <w:sz w:val="24"/>
          <w:szCs w:val="24"/>
          <w:lang w:eastAsia="en-GB"/>
        </w:rPr>
        <w:t xml:space="preserve">on research </w:t>
      </w:r>
      <w:r>
        <w:rPr>
          <w:rFonts w:asciiTheme="majorBidi" w:hAnsiTheme="majorBidi" w:cstheme="majorBidi"/>
          <w:sz w:val="24"/>
          <w:szCs w:val="24"/>
          <w:lang w:eastAsia="en-GB"/>
        </w:rPr>
        <w:t xml:space="preserve">compared with the share of </w:t>
      </w:r>
      <w:r w:rsidRPr="007005E5">
        <w:rPr>
          <w:rFonts w:asciiTheme="majorBidi" w:hAnsiTheme="majorBidi" w:cstheme="majorBidi"/>
          <w:sz w:val="24"/>
          <w:szCs w:val="24"/>
          <w:lang w:eastAsia="en-GB"/>
        </w:rPr>
        <w:t>global wealth</w:t>
      </w:r>
    </w:p>
    <w:p w:rsidR="005D4B44" w:rsidRDefault="005D4B44" w:rsidP="005D4B44">
      <w:pPr>
        <w:spacing w:after="0" w:line="480" w:lineRule="auto"/>
        <w:ind w:left="142" w:hanging="142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sz w:val="24"/>
          <w:szCs w:val="24"/>
          <w:lang w:eastAsia="en-GB"/>
        </w:rPr>
        <w:t xml:space="preserve">Figure 2: Six key pillars of the </w:t>
      </w:r>
      <w:r w:rsidRPr="008D6951">
        <w:rPr>
          <w:rFonts w:asciiTheme="majorBidi" w:hAnsiTheme="majorBidi" w:cstheme="majorBidi"/>
          <w:sz w:val="24"/>
          <w:szCs w:val="24"/>
        </w:rPr>
        <w:t>Evidence-informed policy-making for health</w:t>
      </w:r>
    </w:p>
    <w:p w:rsidR="005D4B44" w:rsidRPr="005D4B44" w:rsidRDefault="005D4B44" w:rsidP="005D4B44">
      <w:pPr>
        <w:pStyle w:val="ListParagraph"/>
        <w:numPr>
          <w:ilvl w:val="0"/>
          <w:numId w:val="2"/>
        </w:num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5D4B44">
        <w:rPr>
          <w:rFonts w:asciiTheme="majorBidi" w:hAnsiTheme="majorBidi" w:cstheme="majorBidi"/>
          <w:b/>
          <w:bCs/>
          <w:sz w:val="24"/>
          <w:szCs w:val="24"/>
        </w:rPr>
        <w:t>Tables</w:t>
      </w:r>
    </w:p>
    <w:p w:rsidR="005D4B44" w:rsidRDefault="005D4B44" w:rsidP="005D4B44">
      <w:pPr>
        <w:spacing w:after="0" w:line="480" w:lineRule="auto"/>
        <w:ind w:left="218" w:hanging="218"/>
        <w:jc w:val="both"/>
        <w:rPr>
          <w:rFonts w:asciiTheme="majorBidi" w:hAnsiTheme="majorBidi" w:cstheme="majorBidi"/>
          <w:sz w:val="24"/>
          <w:szCs w:val="24"/>
        </w:rPr>
      </w:pPr>
      <w:r w:rsidRPr="005D4B44">
        <w:rPr>
          <w:rFonts w:asciiTheme="majorBidi" w:hAnsiTheme="majorBidi" w:cstheme="majorBidi"/>
          <w:sz w:val="24"/>
          <w:szCs w:val="24"/>
        </w:rPr>
        <w:t>Table 1: Research settings related to World Bank countries’ classification</w:t>
      </w:r>
    </w:p>
    <w:p w:rsidR="00602A5C" w:rsidRPr="00602A5C" w:rsidRDefault="00602A5C" w:rsidP="00602A5C">
      <w:pPr>
        <w:pStyle w:val="ListParagraph"/>
        <w:numPr>
          <w:ilvl w:val="0"/>
          <w:numId w:val="2"/>
        </w:numPr>
        <w:spacing w:after="0" w:line="480" w:lineRule="auto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 w:rsidRPr="00602A5C">
        <w:rPr>
          <w:rFonts w:asciiTheme="majorBidi" w:hAnsiTheme="majorBidi" w:cstheme="majorBidi"/>
          <w:b/>
          <w:bCs/>
          <w:sz w:val="24"/>
          <w:szCs w:val="24"/>
        </w:rPr>
        <w:t>Ethical approvals</w:t>
      </w:r>
    </w:p>
    <w:p w:rsidR="00602A5C" w:rsidRDefault="00602A5C" w:rsidP="00602A5C">
      <w:pPr>
        <w:pStyle w:val="ListParagraph"/>
        <w:spacing w:after="0" w:line="480" w:lineRule="auto"/>
        <w:ind w:left="578" w:hanging="578"/>
        <w:jc w:val="both"/>
        <w:rPr>
          <w:rFonts w:asciiTheme="majorBidi" w:hAnsiTheme="majorBidi" w:cstheme="majorBidi"/>
          <w:sz w:val="24"/>
          <w:szCs w:val="24"/>
        </w:rPr>
      </w:pPr>
      <w:r w:rsidRPr="00602A5C">
        <w:rPr>
          <w:rFonts w:asciiTheme="majorBidi" w:hAnsiTheme="majorBidi" w:cstheme="majorBidi"/>
          <w:sz w:val="24"/>
          <w:szCs w:val="24"/>
        </w:rPr>
        <w:t>Document 1: ethical approval from Philadelphia University, Jordan</w:t>
      </w:r>
    </w:p>
    <w:p w:rsidR="00602A5C" w:rsidRDefault="00602A5C" w:rsidP="00602A5C">
      <w:pPr>
        <w:pStyle w:val="ListParagraph"/>
        <w:spacing w:after="0" w:line="480" w:lineRule="auto"/>
        <w:ind w:left="218" w:hanging="218"/>
        <w:rPr>
          <w:rFonts w:asciiTheme="majorBidi" w:hAnsiTheme="majorBidi" w:cstheme="majorBidi"/>
          <w:sz w:val="24"/>
          <w:szCs w:val="24"/>
          <w:lang w:eastAsia="en-GB"/>
        </w:rPr>
      </w:pPr>
      <w:r w:rsidRPr="00602A5C">
        <w:rPr>
          <w:rFonts w:asciiTheme="majorBidi" w:hAnsiTheme="majorBidi" w:cstheme="majorBidi"/>
          <w:sz w:val="24"/>
          <w:szCs w:val="24"/>
          <w:lang w:eastAsia="en-GB"/>
        </w:rPr>
        <w:t>Document</w:t>
      </w:r>
      <w:r>
        <w:rPr>
          <w:rFonts w:asciiTheme="majorBidi" w:hAnsiTheme="majorBidi" w:cstheme="majorBidi"/>
          <w:sz w:val="24"/>
          <w:szCs w:val="24"/>
          <w:lang w:eastAsia="en-GB"/>
        </w:rPr>
        <w:t xml:space="preserve"> 2</w:t>
      </w:r>
      <w:r w:rsidRPr="00602A5C">
        <w:rPr>
          <w:rFonts w:asciiTheme="majorBidi" w:hAnsiTheme="majorBidi" w:cstheme="majorBidi"/>
          <w:sz w:val="24"/>
          <w:szCs w:val="24"/>
          <w:lang w:eastAsia="en-GB"/>
        </w:rPr>
        <w:t xml:space="preserve">: ethical approval from </w:t>
      </w:r>
      <w:r>
        <w:rPr>
          <w:rFonts w:asciiTheme="majorBidi" w:hAnsiTheme="majorBidi" w:cstheme="majorBidi"/>
          <w:sz w:val="24"/>
          <w:szCs w:val="24"/>
          <w:lang w:eastAsia="en-GB"/>
        </w:rPr>
        <w:t>the Palestinian Health Research Council</w:t>
      </w:r>
      <w:r w:rsidRPr="00602A5C">
        <w:rPr>
          <w:rFonts w:asciiTheme="majorBidi" w:hAnsiTheme="majorBidi" w:cstheme="majorBidi"/>
          <w:sz w:val="24"/>
          <w:szCs w:val="24"/>
          <w:lang w:eastAsia="en-GB"/>
        </w:rPr>
        <w:t xml:space="preserve">, </w:t>
      </w:r>
      <w:r>
        <w:rPr>
          <w:rFonts w:asciiTheme="majorBidi" w:hAnsiTheme="majorBidi" w:cstheme="majorBidi"/>
          <w:sz w:val="24"/>
          <w:szCs w:val="24"/>
          <w:lang w:eastAsia="en-GB"/>
        </w:rPr>
        <w:t>Palestine</w:t>
      </w:r>
    </w:p>
    <w:p w:rsidR="00511108" w:rsidRPr="00511108" w:rsidRDefault="00511108" w:rsidP="00511108">
      <w:pPr>
        <w:pStyle w:val="ListParagraph"/>
        <w:numPr>
          <w:ilvl w:val="0"/>
          <w:numId w:val="2"/>
        </w:numPr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  <w:lang w:eastAsia="en-GB"/>
        </w:rPr>
      </w:pPr>
      <w:r w:rsidRPr="00511108">
        <w:rPr>
          <w:rFonts w:asciiTheme="majorBidi" w:hAnsiTheme="majorBidi" w:cstheme="majorBidi"/>
          <w:b/>
          <w:bCs/>
          <w:sz w:val="24"/>
          <w:szCs w:val="24"/>
          <w:lang w:eastAsia="en-GB"/>
        </w:rPr>
        <w:t>Research tools</w:t>
      </w:r>
    </w:p>
    <w:p w:rsidR="00511108" w:rsidRPr="00602A5C" w:rsidRDefault="00511108" w:rsidP="00511108">
      <w:pPr>
        <w:pStyle w:val="ListParagraph"/>
        <w:spacing w:after="0" w:line="480" w:lineRule="auto"/>
        <w:ind w:left="0"/>
        <w:rPr>
          <w:rFonts w:asciiTheme="majorBidi" w:hAnsiTheme="majorBidi" w:cstheme="majorBidi"/>
          <w:sz w:val="24"/>
          <w:szCs w:val="24"/>
          <w:lang w:eastAsia="en-GB"/>
        </w:rPr>
      </w:pPr>
      <w:r>
        <w:rPr>
          <w:rFonts w:asciiTheme="majorBidi" w:hAnsiTheme="majorBidi" w:cstheme="majorBidi"/>
          <w:sz w:val="24"/>
          <w:szCs w:val="24"/>
          <w:lang w:eastAsia="en-GB"/>
        </w:rPr>
        <w:t>The HTA quantitative survey adopted from the WHO</w:t>
      </w:r>
    </w:p>
    <w:p w:rsidR="00602A5C" w:rsidRPr="00602A5C" w:rsidRDefault="00602A5C" w:rsidP="00602A5C">
      <w:pPr>
        <w:pStyle w:val="ListParagraph"/>
        <w:spacing w:after="0" w:line="480" w:lineRule="auto"/>
        <w:ind w:left="578"/>
        <w:jc w:val="both"/>
        <w:rPr>
          <w:rFonts w:asciiTheme="majorBidi" w:hAnsiTheme="majorBidi" w:cstheme="majorBidi"/>
          <w:sz w:val="24"/>
          <w:szCs w:val="24"/>
        </w:rPr>
      </w:pPr>
    </w:p>
    <w:p w:rsidR="005D4B44" w:rsidRDefault="005D4B44" w:rsidP="005D4B44">
      <w:pPr>
        <w:spacing w:after="0" w:line="480" w:lineRule="auto"/>
        <w:ind w:left="142" w:hanging="142"/>
        <w:jc w:val="both"/>
        <w:rPr>
          <w:rFonts w:asciiTheme="majorBidi" w:hAnsiTheme="majorBidi" w:cstheme="majorBidi"/>
          <w:sz w:val="24"/>
          <w:szCs w:val="24"/>
          <w:lang w:eastAsia="en-GB"/>
        </w:rPr>
      </w:pPr>
    </w:p>
    <w:p w:rsidR="005D4B44" w:rsidRDefault="005D4B44" w:rsidP="005D4B44">
      <w:pPr>
        <w:rPr>
          <w:rFonts w:cs="Arial"/>
        </w:rPr>
      </w:pPr>
    </w:p>
    <w:p w:rsidR="005D4B44" w:rsidRDefault="005D4B44" w:rsidP="005621EA">
      <w:pPr>
        <w:rPr>
          <w:rFonts w:cs="Arial"/>
        </w:rPr>
      </w:pPr>
    </w:p>
    <w:p w:rsidR="005D4B44" w:rsidRDefault="005D4B44" w:rsidP="005621EA">
      <w:pPr>
        <w:rPr>
          <w:rFonts w:cs="Arial"/>
        </w:rPr>
      </w:pPr>
    </w:p>
    <w:p w:rsidR="005D4B44" w:rsidRDefault="005D4B44" w:rsidP="005621EA">
      <w:pPr>
        <w:rPr>
          <w:rFonts w:cs="Arial"/>
        </w:rPr>
      </w:pPr>
    </w:p>
    <w:p w:rsidR="005D4B44" w:rsidRDefault="005D4B44" w:rsidP="005621EA">
      <w:pPr>
        <w:rPr>
          <w:rFonts w:cs="Arial"/>
        </w:rPr>
      </w:pPr>
    </w:p>
    <w:p w:rsidR="005D4B44" w:rsidRDefault="005D4B44" w:rsidP="005621EA">
      <w:pPr>
        <w:rPr>
          <w:rFonts w:cs="Arial"/>
        </w:rPr>
      </w:pPr>
    </w:p>
    <w:p w:rsidR="005D4B44" w:rsidRDefault="005D4B44" w:rsidP="005621EA">
      <w:pPr>
        <w:rPr>
          <w:rFonts w:cs="Arial"/>
        </w:rPr>
      </w:pPr>
    </w:p>
    <w:p w:rsidR="005D4B44" w:rsidRDefault="005D4B44" w:rsidP="005621EA">
      <w:pPr>
        <w:rPr>
          <w:rFonts w:cs="Arial"/>
        </w:rPr>
      </w:pPr>
    </w:p>
    <w:p w:rsidR="005D4B44" w:rsidRDefault="005D4B44" w:rsidP="005621EA">
      <w:pPr>
        <w:rPr>
          <w:rFonts w:cs="Arial"/>
        </w:rPr>
      </w:pPr>
    </w:p>
    <w:p w:rsidR="005D4B44" w:rsidRDefault="005D4B44" w:rsidP="005621EA">
      <w:pPr>
        <w:rPr>
          <w:rFonts w:cs="Arial"/>
        </w:rPr>
      </w:pPr>
    </w:p>
    <w:p w:rsidR="005D4B44" w:rsidRDefault="005D4B44" w:rsidP="005621EA">
      <w:pPr>
        <w:rPr>
          <w:rFonts w:cs="Arial"/>
        </w:rPr>
      </w:pPr>
    </w:p>
    <w:p w:rsidR="005D4B44" w:rsidRPr="007005E5" w:rsidRDefault="005D4B44" w:rsidP="005D4B44">
      <w:pPr>
        <w:pStyle w:val="ListParagraph"/>
        <w:numPr>
          <w:ilvl w:val="0"/>
          <w:numId w:val="1"/>
        </w:numPr>
        <w:spacing w:after="0" w:line="480" w:lineRule="auto"/>
        <w:ind w:hanging="218"/>
        <w:jc w:val="both"/>
        <w:rPr>
          <w:rFonts w:asciiTheme="majorBidi" w:hAnsiTheme="majorBidi" w:cstheme="majorBidi"/>
          <w:b/>
          <w:bCs/>
          <w:sz w:val="24"/>
          <w:szCs w:val="24"/>
          <w:lang w:eastAsia="en-GB"/>
        </w:rPr>
      </w:pPr>
      <w:r w:rsidRPr="007005E5">
        <w:rPr>
          <w:rFonts w:asciiTheme="majorBidi" w:hAnsiTheme="majorBidi" w:cstheme="majorBidi"/>
          <w:b/>
          <w:bCs/>
          <w:sz w:val="24"/>
          <w:szCs w:val="24"/>
          <w:lang w:eastAsia="en-GB"/>
        </w:rPr>
        <w:lastRenderedPageBreak/>
        <w:t>Figures</w:t>
      </w:r>
    </w:p>
    <w:p w:rsidR="005D4B44" w:rsidRDefault="005D4B44" w:rsidP="005D4B44">
      <w:pPr>
        <w:spacing w:after="0" w:line="480" w:lineRule="auto"/>
        <w:ind w:left="142" w:hanging="142"/>
        <w:jc w:val="both"/>
        <w:rPr>
          <w:rFonts w:asciiTheme="majorBidi" w:hAnsiTheme="majorBidi" w:cstheme="majorBidi"/>
          <w:sz w:val="24"/>
          <w:szCs w:val="24"/>
          <w:lang w:eastAsia="en-GB"/>
        </w:rPr>
      </w:pPr>
      <w:r>
        <w:rPr>
          <w:rFonts w:asciiTheme="majorBidi" w:hAnsiTheme="majorBidi" w:cstheme="majorBidi"/>
          <w:sz w:val="24"/>
          <w:szCs w:val="24"/>
          <w:lang w:eastAsia="en-GB"/>
        </w:rPr>
        <w:t xml:space="preserve">Figure 1: </w:t>
      </w:r>
      <w:r w:rsidRPr="007005E5">
        <w:rPr>
          <w:rFonts w:asciiTheme="majorBidi" w:hAnsiTheme="majorBidi" w:cstheme="majorBidi"/>
          <w:sz w:val="24"/>
          <w:szCs w:val="24"/>
          <w:lang w:eastAsia="en-GB"/>
        </w:rPr>
        <w:t>EMR countries spend</w:t>
      </w:r>
      <w:r>
        <w:rPr>
          <w:rFonts w:asciiTheme="majorBidi" w:hAnsiTheme="majorBidi" w:cstheme="majorBidi"/>
          <w:sz w:val="24"/>
          <w:szCs w:val="24"/>
          <w:lang w:eastAsia="en-GB"/>
        </w:rPr>
        <w:t xml:space="preserve">ing </w:t>
      </w:r>
      <w:r w:rsidRPr="007005E5">
        <w:rPr>
          <w:rFonts w:asciiTheme="majorBidi" w:hAnsiTheme="majorBidi" w:cstheme="majorBidi"/>
          <w:sz w:val="24"/>
          <w:szCs w:val="24"/>
          <w:lang w:eastAsia="en-GB"/>
        </w:rPr>
        <w:t xml:space="preserve">on research </w:t>
      </w:r>
      <w:r>
        <w:rPr>
          <w:rFonts w:asciiTheme="majorBidi" w:hAnsiTheme="majorBidi" w:cstheme="majorBidi"/>
          <w:sz w:val="24"/>
          <w:szCs w:val="24"/>
          <w:lang w:eastAsia="en-GB"/>
        </w:rPr>
        <w:t xml:space="preserve">compared with the share of </w:t>
      </w:r>
      <w:r w:rsidRPr="007005E5">
        <w:rPr>
          <w:rFonts w:asciiTheme="majorBidi" w:hAnsiTheme="majorBidi" w:cstheme="majorBidi"/>
          <w:sz w:val="24"/>
          <w:szCs w:val="24"/>
          <w:lang w:eastAsia="en-GB"/>
        </w:rPr>
        <w:t>global wealth</w:t>
      </w:r>
    </w:p>
    <w:p w:rsidR="005D4B44" w:rsidRDefault="005D4B44" w:rsidP="005D4B44">
      <w:pPr>
        <w:spacing w:after="0" w:line="480" w:lineRule="auto"/>
        <w:ind w:left="142" w:hanging="284"/>
        <w:jc w:val="center"/>
        <w:rPr>
          <w:rFonts w:asciiTheme="majorBidi" w:hAnsiTheme="majorBidi" w:cstheme="majorBidi"/>
          <w:sz w:val="24"/>
          <w:szCs w:val="24"/>
          <w:lang w:eastAsia="en-GB"/>
        </w:rPr>
      </w:pPr>
      <w:r>
        <w:rPr>
          <w:noProof/>
          <w:lang w:val="de-CH" w:eastAsia="de-CH"/>
        </w:rPr>
        <w:drawing>
          <wp:inline distT="0" distB="0" distL="0" distR="0" wp14:anchorId="759539E8" wp14:editId="78DB689F">
            <wp:extent cx="5265762" cy="3373582"/>
            <wp:effectExtent l="19050" t="19050" r="11430" b="17780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0988" cy="3376930"/>
                    </a:xfrm>
                    <a:prstGeom prst="rect">
                      <a:avLst/>
                    </a:prstGeom>
                    <a:ln w="9525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5D4B44" w:rsidRDefault="005D4B44" w:rsidP="005D4B44">
      <w:pPr>
        <w:spacing w:after="0" w:line="480" w:lineRule="auto"/>
        <w:ind w:left="142" w:hanging="142"/>
        <w:jc w:val="both"/>
        <w:rPr>
          <w:rFonts w:asciiTheme="majorBidi" w:hAnsiTheme="majorBidi" w:cstheme="majorBidi"/>
          <w:sz w:val="24"/>
          <w:szCs w:val="24"/>
          <w:lang w:eastAsia="en-GB"/>
        </w:rPr>
      </w:pPr>
      <w:r>
        <w:rPr>
          <w:rFonts w:asciiTheme="majorBidi" w:hAnsiTheme="majorBidi" w:cstheme="majorBidi"/>
          <w:sz w:val="24"/>
          <w:szCs w:val="24"/>
          <w:lang w:eastAsia="en-GB"/>
        </w:rPr>
        <w:t xml:space="preserve">Figure 2: Six key pillars of the </w:t>
      </w:r>
      <w:r w:rsidRPr="008D6951">
        <w:rPr>
          <w:rFonts w:asciiTheme="majorBidi" w:hAnsiTheme="majorBidi" w:cstheme="majorBidi"/>
          <w:sz w:val="24"/>
          <w:szCs w:val="24"/>
        </w:rPr>
        <w:t>Evidence-informed policy-making for health</w:t>
      </w:r>
    </w:p>
    <w:p w:rsidR="005D4B44" w:rsidRDefault="005D4B44" w:rsidP="005D4B44">
      <w:pPr>
        <w:spacing w:after="0" w:line="480" w:lineRule="auto"/>
        <w:ind w:left="142" w:hanging="284"/>
        <w:jc w:val="center"/>
        <w:rPr>
          <w:rFonts w:asciiTheme="majorBidi" w:hAnsiTheme="majorBidi" w:cstheme="majorBidi"/>
          <w:sz w:val="24"/>
          <w:szCs w:val="24"/>
          <w:lang w:eastAsia="en-GB"/>
        </w:rPr>
      </w:pPr>
      <w:r>
        <w:rPr>
          <w:noProof/>
          <w:lang w:val="de-CH" w:eastAsia="de-CH"/>
        </w:rPr>
        <w:drawing>
          <wp:inline distT="0" distB="0" distL="0" distR="0" wp14:anchorId="144998F8" wp14:editId="667E29A6">
            <wp:extent cx="4184073" cy="3851564"/>
            <wp:effectExtent l="19050" t="19050" r="26035" b="1587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88588" cy="3855720"/>
                    </a:xfrm>
                    <a:prstGeom prst="rect">
                      <a:avLst/>
                    </a:prstGeom>
                    <a:ln w="9525">
                      <a:solidFill>
                        <a:sysClr val="windowText" lastClr="000000"/>
                      </a:solidFill>
                    </a:ln>
                  </pic:spPr>
                </pic:pic>
              </a:graphicData>
            </a:graphic>
          </wp:inline>
        </w:drawing>
      </w:r>
    </w:p>
    <w:p w:rsidR="00511108" w:rsidRDefault="00511108" w:rsidP="005D4B44">
      <w:pPr>
        <w:spacing w:after="0" w:line="480" w:lineRule="auto"/>
        <w:ind w:left="142" w:hanging="284"/>
        <w:jc w:val="center"/>
        <w:rPr>
          <w:rFonts w:asciiTheme="majorBidi" w:hAnsiTheme="majorBidi" w:cstheme="majorBidi"/>
          <w:sz w:val="24"/>
          <w:szCs w:val="24"/>
          <w:lang w:eastAsia="en-GB"/>
        </w:rPr>
      </w:pPr>
    </w:p>
    <w:p w:rsidR="005D4B44" w:rsidRDefault="005D4B44" w:rsidP="005D4B44">
      <w:pPr>
        <w:pStyle w:val="ListParagraph"/>
        <w:numPr>
          <w:ilvl w:val="0"/>
          <w:numId w:val="1"/>
        </w:numPr>
        <w:spacing w:after="0" w:line="480" w:lineRule="auto"/>
        <w:ind w:hanging="218"/>
        <w:rPr>
          <w:rFonts w:asciiTheme="majorBidi" w:hAnsiTheme="majorBidi" w:cstheme="majorBidi"/>
          <w:b/>
          <w:bCs/>
          <w:sz w:val="24"/>
          <w:szCs w:val="24"/>
          <w:lang w:eastAsia="en-GB"/>
        </w:rPr>
      </w:pPr>
      <w:r w:rsidRPr="007005E5">
        <w:rPr>
          <w:rFonts w:asciiTheme="majorBidi" w:hAnsiTheme="majorBidi" w:cstheme="majorBidi"/>
          <w:b/>
          <w:bCs/>
          <w:sz w:val="24"/>
          <w:szCs w:val="24"/>
          <w:lang w:eastAsia="en-GB"/>
        </w:rPr>
        <w:lastRenderedPageBreak/>
        <w:t>Tables:</w:t>
      </w:r>
    </w:p>
    <w:p w:rsidR="005D4B44" w:rsidRPr="005D4B44" w:rsidRDefault="005D4B44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  <w:r w:rsidRPr="005D4B44">
        <w:rPr>
          <w:rFonts w:asciiTheme="majorBidi" w:hAnsiTheme="majorBidi" w:cstheme="majorBidi"/>
          <w:sz w:val="24"/>
          <w:szCs w:val="24"/>
          <w:lang w:eastAsia="en-GB"/>
        </w:rPr>
        <w:t>Table 1: Research settings related to World Bank countries’ classification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558"/>
        <w:gridCol w:w="1872"/>
        <w:gridCol w:w="1872"/>
        <w:gridCol w:w="1662"/>
        <w:gridCol w:w="2098"/>
      </w:tblGrid>
      <w:tr w:rsidR="005D4B44" w:rsidRPr="007005E5" w:rsidTr="00A55526">
        <w:trPr>
          <w:jc w:val="center"/>
        </w:trPr>
        <w:tc>
          <w:tcPr>
            <w:tcW w:w="1590" w:type="dxa"/>
            <w:shd w:val="clear" w:color="auto" w:fill="F2F2F2" w:themeFill="background1" w:themeFillShade="F2"/>
          </w:tcPr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</w:pPr>
            <w:r w:rsidRPr="007005E5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  <w:t>World Bank categories</w:t>
            </w:r>
          </w:p>
        </w:tc>
        <w:tc>
          <w:tcPr>
            <w:tcW w:w="2050" w:type="dxa"/>
            <w:shd w:val="clear" w:color="auto" w:fill="F2F2F2" w:themeFill="background1" w:themeFillShade="F2"/>
          </w:tcPr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</w:pPr>
            <w:r w:rsidRPr="007005E5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  <w:t>Upper-middle-income economy ($3,956 to $12,235)</w:t>
            </w:r>
          </w:p>
        </w:tc>
        <w:tc>
          <w:tcPr>
            <w:tcW w:w="2051" w:type="dxa"/>
            <w:shd w:val="clear" w:color="auto" w:fill="F2F2F2" w:themeFill="background1" w:themeFillShade="F2"/>
          </w:tcPr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</w:pPr>
            <w:r w:rsidRPr="007005E5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  <w:t>Lower-middle-income economy ($1,006 to $3,955)</w:t>
            </w:r>
          </w:p>
        </w:tc>
        <w:tc>
          <w:tcPr>
            <w:tcW w:w="1770" w:type="dxa"/>
            <w:shd w:val="clear" w:color="auto" w:fill="F2F2F2" w:themeFill="background1" w:themeFillShade="F2"/>
          </w:tcPr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</w:pPr>
            <w:r w:rsidRPr="007005E5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  <w:t>L</w:t>
            </w:r>
            <w:r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  <w:t>east-i</w:t>
            </w:r>
            <w:r w:rsidRPr="007005E5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  <w:t>ncome economy ($1,005 or less)</w:t>
            </w:r>
          </w:p>
        </w:tc>
        <w:tc>
          <w:tcPr>
            <w:tcW w:w="2259" w:type="dxa"/>
            <w:shd w:val="clear" w:color="auto" w:fill="F2F2F2" w:themeFill="background1" w:themeFillShade="F2"/>
          </w:tcPr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</w:pPr>
            <w:r w:rsidRPr="007005E5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  <w:t>High-income economy ($12,056 or more)</w:t>
            </w:r>
          </w:p>
        </w:tc>
      </w:tr>
      <w:tr w:rsidR="005D4B44" w:rsidRPr="007005E5" w:rsidTr="00A55526">
        <w:trPr>
          <w:jc w:val="center"/>
        </w:trPr>
        <w:tc>
          <w:tcPr>
            <w:tcW w:w="1590" w:type="dxa"/>
            <w:shd w:val="clear" w:color="auto" w:fill="F2F2F2" w:themeFill="background1" w:themeFillShade="F2"/>
          </w:tcPr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</w:pPr>
            <w:r w:rsidRPr="007005E5">
              <w:rPr>
                <w:rFonts w:asciiTheme="majorBidi" w:hAnsiTheme="majorBidi" w:cstheme="majorBidi"/>
                <w:b/>
                <w:bCs/>
                <w:sz w:val="24"/>
                <w:szCs w:val="24"/>
                <w:lang w:eastAsia="en-GB"/>
              </w:rPr>
              <w:t>Research settings</w:t>
            </w:r>
          </w:p>
        </w:tc>
        <w:tc>
          <w:tcPr>
            <w:tcW w:w="2050" w:type="dxa"/>
          </w:tcPr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sz w:val="24"/>
                <w:szCs w:val="24"/>
                <w:lang w:eastAsia="en-GB"/>
              </w:rPr>
            </w:pPr>
          </w:p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sz w:val="24"/>
                <w:szCs w:val="24"/>
                <w:lang w:eastAsia="en-GB"/>
              </w:rPr>
            </w:pPr>
            <w:r w:rsidRPr="007005E5">
              <w:rPr>
                <w:rFonts w:asciiTheme="majorBidi" w:hAnsiTheme="majorBidi" w:cstheme="majorBidi"/>
                <w:sz w:val="24"/>
                <w:szCs w:val="24"/>
                <w:lang w:eastAsia="en-GB"/>
              </w:rPr>
              <w:t>Lebanon</w:t>
            </w:r>
          </w:p>
        </w:tc>
        <w:tc>
          <w:tcPr>
            <w:tcW w:w="2051" w:type="dxa"/>
          </w:tcPr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sz w:val="24"/>
                <w:szCs w:val="24"/>
                <w:lang w:eastAsia="en-GB"/>
              </w:rPr>
            </w:pPr>
          </w:p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sz w:val="24"/>
                <w:szCs w:val="24"/>
                <w:lang w:eastAsia="en-GB"/>
              </w:rPr>
            </w:pPr>
            <w:r w:rsidRPr="007005E5">
              <w:rPr>
                <w:rFonts w:asciiTheme="majorBidi" w:hAnsiTheme="majorBidi" w:cstheme="majorBidi"/>
                <w:sz w:val="24"/>
                <w:szCs w:val="24"/>
                <w:lang w:eastAsia="en-GB"/>
              </w:rPr>
              <w:t>Palestine</w:t>
            </w:r>
          </w:p>
        </w:tc>
        <w:tc>
          <w:tcPr>
            <w:tcW w:w="1770" w:type="dxa"/>
          </w:tcPr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sz w:val="24"/>
                <w:szCs w:val="24"/>
                <w:lang w:eastAsia="en-GB"/>
              </w:rPr>
            </w:pPr>
          </w:p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sz w:val="24"/>
                <w:szCs w:val="24"/>
                <w:lang w:eastAsia="en-GB"/>
              </w:rPr>
            </w:pPr>
            <w:r w:rsidRPr="007005E5">
              <w:rPr>
                <w:rFonts w:asciiTheme="majorBidi" w:hAnsiTheme="majorBidi" w:cstheme="majorBidi"/>
                <w:sz w:val="24"/>
                <w:szCs w:val="24"/>
                <w:lang w:eastAsia="en-GB"/>
              </w:rPr>
              <w:t>Tanzania</w:t>
            </w:r>
          </w:p>
        </w:tc>
        <w:tc>
          <w:tcPr>
            <w:tcW w:w="2259" w:type="dxa"/>
          </w:tcPr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sz w:val="24"/>
                <w:szCs w:val="24"/>
                <w:lang w:eastAsia="en-GB"/>
              </w:rPr>
            </w:pPr>
            <w:r w:rsidRPr="007005E5">
              <w:rPr>
                <w:rFonts w:asciiTheme="majorBidi" w:hAnsiTheme="majorBidi" w:cstheme="majorBidi"/>
                <w:sz w:val="24"/>
                <w:szCs w:val="24"/>
                <w:lang w:eastAsia="en-GB"/>
              </w:rPr>
              <w:t>Canada and Switzerland</w:t>
            </w:r>
          </w:p>
          <w:p w:rsidR="005D4B44" w:rsidRPr="007005E5" w:rsidRDefault="005D4B44" w:rsidP="00A55526">
            <w:pPr>
              <w:pStyle w:val="ListParagraph"/>
              <w:ind w:left="218"/>
              <w:rPr>
                <w:rFonts w:asciiTheme="majorBidi" w:hAnsiTheme="majorBidi" w:cstheme="majorBidi"/>
                <w:sz w:val="24"/>
                <w:szCs w:val="24"/>
                <w:lang w:eastAsia="en-GB"/>
              </w:rPr>
            </w:pPr>
            <w:r w:rsidRPr="007005E5">
              <w:rPr>
                <w:rFonts w:asciiTheme="majorBidi" w:hAnsiTheme="majorBidi" w:cstheme="majorBidi"/>
                <w:sz w:val="24"/>
                <w:szCs w:val="24"/>
                <w:lang w:eastAsia="en-GB"/>
              </w:rPr>
              <w:t>(Benchmark and comparative setting)</w:t>
            </w:r>
          </w:p>
        </w:tc>
      </w:tr>
    </w:tbl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5D4B44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</w:p>
    <w:p w:rsidR="00602A5C" w:rsidRDefault="00602A5C" w:rsidP="00602A5C">
      <w:pPr>
        <w:pStyle w:val="ListParagraph"/>
        <w:numPr>
          <w:ilvl w:val="0"/>
          <w:numId w:val="1"/>
        </w:numPr>
        <w:spacing w:after="0" w:line="480" w:lineRule="auto"/>
        <w:rPr>
          <w:rFonts w:asciiTheme="majorBidi" w:hAnsiTheme="majorBidi" w:cstheme="majorBidi"/>
          <w:b/>
          <w:bCs/>
          <w:sz w:val="24"/>
          <w:szCs w:val="24"/>
          <w:lang w:eastAsia="en-GB"/>
        </w:rPr>
      </w:pPr>
      <w:r w:rsidRPr="00602A5C">
        <w:rPr>
          <w:rFonts w:asciiTheme="majorBidi" w:hAnsiTheme="majorBidi" w:cstheme="majorBidi"/>
          <w:b/>
          <w:bCs/>
          <w:sz w:val="24"/>
          <w:szCs w:val="24"/>
          <w:lang w:eastAsia="en-GB"/>
        </w:rPr>
        <w:lastRenderedPageBreak/>
        <w:t>Ethical approvals</w:t>
      </w:r>
    </w:p>
    <w:p w:rsidR="00602A5C" w:rsidRPr="00602A5C" w:rsidRDefault="00602A5C" w:rsidP="00602A5C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  <w:r w:rsidRPr="00602A5C">
        <w:rPr>
          <w:rFonts w:asciiTheme="majorBidi" w:hAnsiTheme="majorBidi" w:cstheme="majorBidi"/>
          <w:sz w:val="24"/>
          <w:szCs w:val="24"/>
          <w:lang w:eastAsia="en-GB"/>
        </w:rPr>
        <w:t>Document 1: ethical approval from Philadelphia University, Jordan</w:t>
      </w:r>
    </w:p>
    <w:p w:rsidR="00602A5C" w:rsidRDefault="00602A5C" w:rsidP="00602A5C">
      <w:pPr>
        <w:spacing w:after="0" w:line="480" w:lineRule="auto"/>
        <w:ind w:left="-142"/>
        <w:rPr>
          <w:rFonts w:asciiTheme="majorBidi" w:hAnsiTheme="majorBidi" w:cstheme="majorBidi"/>
          <w:b/>
          <w:bCs/>
          <w:sz w:val="24"/>
          <w:szCs w:val="24"/>
          <w:lang w:eastAsia="en-GB"/>
        </w:rPr>
      </w:pPr>
    </w:p>
    <w:p w:rsidR="00602A5C" w:rsidRDefault="00602A5C" w:rsidP="00602A5C">
      <w:pPr>
        <w:spacing w:after="0" w:line="480" w:lineRule="auto"/>
        <w:ind w:left="-142"/>
        <w:rPr>
          <w:rFonts w:asciiTheme="majorBidi" w:hAnsiTheme="majorBidi" w:cstheme="majorBidi"/>
          <w:b/>
          <w:bCs/>
          <w:sz w:val="24"/>
          <w:szCs w:val="24"/>
          <w:lang w:eastAsia="en-GB"/>
        </w:rPr>
      </w:pPr>
      <w:r>
        <w:rPr>
          <w:noProof/>
          <w:lang w:val="de-CH" w:eastAsia="de-CH"/>
        </w:rPr>
        <w:drawing>
          <wp:inline distT="0" distB="0" distL="0" distR="0" wp14:anchorId="13FCAD18" wp14:editId="71052B28">
            <wp:extent cx="5562600" cy="76962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7696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A5C" w:rsidRPr="00602A5C" w:rsidRDefault="00602A5C" w:rsidP="00602A5C">
      <w:pPr>
        <w:pStyle w:val="ListParagraph"/>
        <w:spacing w:after="0" w:line="480" w:lineRule="auto"/>
        <w:ind w:left="218"/>
        <w:rPr>
          <w:rFonts w:asciiTheme="majorBidi" w:hAnsiTheme="majorBidi" w:cstheme="majorBidi"/>
          <w:sz w:val="24"/>
          <w:szCs w:val="24"/>
          <w:lang w:eastAsia="en-GB"/>
        </w:rPr>
      </w:pPr>
      <w:r w:rsidRPr="00602A5C">
        <w:rPr>
          <w:rFonts w:asciiTheme="majorBidi" w:hAnsiTheme="majorBidi" w:cstheme="majorBidi"/>
          <w:sz w:val="24"/>
          <w:szCs w:val="24"/>
          <w:lang w:eastAsia="en-GB"/>
        </w:rPr>
        <w:lastRenderedPageBreak/>
        <w:t>Document</w:t>
      </w:r>
      <w:r>
        <w:rPr>
          <w:rFonts w:asciiTheme="majorBidi" w:hAnsiTheme="majorBidi" w:cstheme="majorBidi"/>
          <w:sz w:val="24"/>
          <w:szCs w:val="24"/>
          <w:lang w:eastAsia="en-GB"/>
        </w:rPr>
        <w:t xml:space="preserve"> 2</w:t>
      </w:r>
      <w:r w:rsidRPr="00602A5C">
        <w:rPr>
          <w:rFonts w:asciiTheme="majorBidi" w:hAnsiTheme="majorBidi" w:cstheme="majorBidi"/>
          <w:sz w:val="24"/>
          <w:szCs w:val="24"/>
          <w:lang w:eastAsia="en-GB"/>
        </w:rPr>
        <w:t xml:space="preserve">: ethical approval from </w:t>
      </w:r>
      <w:r>
        <w:rPr>
          <w:rFonts w:asciiTheme="majorBidi" w:hAnsiTheme="majorBidi" w:cstheme="majorBidi"/>
          <w:sz w:val="24"/>
          <w:szCs w:val="24"/>
          <w:lang w:eastAsia="en-GB"/>
        </w:rPr>
        <w:t>the Palestinian Health Research Council</w:t>
      </w:r>
      <w:r w:rsidRPr="00602A5C">
        <w:rPr>
          <w:rFonts w:asciiTheme="majorBidi" w:hAnsiTheme="majorBidi" w:cstheme="majorBidi"/>
          <w:sz w:val="24"/>
          <w:szCs w:val="24"/>
          <w:lang w:eastAsia="en-GB"/>
        </w:rPr>
        <w:t xml:space="preserve">, </w:t>
      </w:r>
      <w:r>
        <w:rPr>
          <w:rFonts w:asciiTheme="majorBidi" w:hAnsiTheme="majorBidi" w:cstheme="majorBidi"/>
          <w:sz w:val="24"/>
          <w:szCs w:val="24"/>
          <w:lang w:eastAsia="en-GB"/>
        </w:rPr>
        <w:t>Palestine</w:t>
      </w:r>
    </w:p>
    <w:p w:rsidR="00602A5C" w:rsidRDefault="00602A5C" w:rsidP="00602A5C">
      <w:pPr>
        <w:spacing w:after="0" w:line="480" w:lineRule="auto"/>
        <w:ind w:left="-142"/>
        <w:rPr>
          <w:rFonts w:asciiTheme="majorBidi" w:hAnsiTheme="majorBidi" w:cstheme="majorBidi"/>
          <w:b/>
          <w:bCs/>
          <w:sz w:val="24"/>
          <w:szCs w:val="24"/>
          <w:lang w:eastAsia="en-GB"/>
        </w:rPr>
      </w:pPr>
      <w:r>
        <w:rPr>
          <w:noProof/>
          <w:lang w:val="de-CH" w:eastAsia="de-CH"/>
        </w:rPr>
        <w:drawing>
          <wp:inline distT="0" distB="0" distL="0" distR="0" wp14:anchorId="74EB7E41" wp14:editId="282384F2">
            <wp:extent cx="5524500" cy="75342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2A5C" w:rsidRPr="00602A5C" w:rsidRDefault="00602A5C" w:rsidP="00602A5C">
      <w:pPr>
        <w:spacing w:after="0" w:line="480" w:lineRule="auto"/>
        <w:ind w:left="-142"/>
        <w:rPr>
          <w:rFonts w:asciiTheme="majorBidi" w:hAnsiTheme="majorBidi" w:cstheme="majorBidi"/>
          <w:b/>
          <w:bCs/>
          <w:sz w:val="24"/>
          <w:szCs w:val="24"/>
          <w:lang w:eastAsia="en-GB"/>
        </w:rPr>
      </w:pPr>
    </w:p>
    <w:p w:rsidR="005D4B44" w:rsidRDefault="005D4B44" w:rsidP="005621EA">
      <w:pPr>
        <w:rPr>
          <w:rFonts w:cs="Arial"/>
        </w:rPr>
      </w:pPr>
    </w:p>
    <w:p w:rsidR="005D4B44" w:rsidRPr="00CE6397" w:rsidRDefault="005D4B44" w:rsidP="005621EA">
      <w:pPr>
        <w:rPr>
          <w:rFonts w:cs="Arial"/>
        </w:rPr>
      </w:pPr>
      <w:bookmarkStart w:id="0" w:name="_GoBack"/>
      <w:bookmarkEnd w:id="0"/>
    </w:p>
    <w:sectPr w:rsidR="005D4B44" w:rsidRPr="00CE639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7258" w:rsidRDefault="001B7258" w:rsidP="005D4B44">
      <w:pPr>
        <w:spacing w:after="0" w:line="240" w:lineRule="auto"/>
      </w:pPr>
      <w:r>
        <w:separator/>
      </w:r>
    </w:p>
  </w:endnote>
  <w:endnote w:type="continuationSeparator" w:id="0">
    <w:p w:rsidR="001B7258" w:rsidRDefault="001B7258" w:rsidP="005D4B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7258" w:rsidRDefault="001B7258" w:rsidP="005D4B44">
      <w:pPr>
        <w:spacing w:after="0" w:line="240" w:lineRule="auto"/>
      </w:pPr>
      <w:r>
        <w:separator/>
      </w:r>
    </w:p>
  </w:footnote>
  <w:footnote w:type="continuationSeparator" w:id="0">
    <w:p w:rsidR="001B7258" w:rsidRDefault="001B7258" w:rsidP="005D4B4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1CD7063"/>
    <w:multiLevelType w:val="hybridMultilevel"/>
    <w:tmpl w:val="DDA0D0EE"/>
    <w:lvl w:ilvl="0" w:tplc="8E084C12">
      <w:start w:val="1"/>
      <w:numFmt w:val="decimal"/>
      <w:lvlText w:val="%1."/>
      <w:lvlJc w:val="left"/>
      <w:pPr>
        <w:ind w:left="578" w:hanging="360"/>
      </w:pPr>
      <w:rPr>
        <w:rFonts w:hint="default"/>
      </w:rPr>
    </w:lvl>
    <w:lvl w:ilvl="1" w:tplc="08070019" w:tentative="1">
      <w:start w:val="1"/>
      <w:numFmt w:val="lowerLetter"/>
      <w:lvlText w:val="%2."/>
      <w:lvlJc w:val="left"/>
      <w:pPr>
        <w:ind w:left="1298" w:hanging="360"/>
      </w:pPr>
    </w:lvl>
    <w:lvl w:ilvl="2" w:tplc="0807001B" w:tentative="1">
      <w:start w:val="1"/>
      <w:numFmt w:val="lowerRoman"/>
      <w:lvlText w:val="%3."/>
      <w:lvlJc w:val="right"/>
      <w:pPr>
        <w:ind w:left="2018" w:hanging="180"/>
      </w:pPr>
    </w:lvl>
    <w:lvl w:ilvl="3" w:tplc="0807000F" w:tentative="1">
      <w:start w:val="1"/>
      <w:numFmt w:val="decimal"/>
      <w:lvlText w:val="%4."/>
      <w:lvlJc w:val="left"/>
      <w:pPr>
        <w:ind w:left="2738" w:hanging="360"/>
      </w:pPr>
    </w:lvl>
    <w:lvl w:ilvl="4" w:tplc="08070019" w:tentative="1">
      <w:start w:val="1"/>
      <w:numFmt w:val="lowerLetter"/>
      <w:lvlText w:val="%5."/>
      <w:lvlJc w:val="left"/>
      <w:pPr>
        <w:ind w:left="3458" w:hanging="360"/>
      </w:pPr>
    </w:lvl>
    <w:lvl w:ilvl="5" w:tplc="0807001B" w:tentative="1">
      <w:start w:val="1"/>
      <w:numFmt w:val="lowerRoman"/>
      <w:lvlText w:val="%6."/>
      <w:lvlJc w:val="right"/>
      <w:pPr>
        <w:ind w:left="4178" w:hanging="180"/>
      </w:pPr>
    </w:lvl>
    <w:lvl w:ilvl="6" w:tplc="0807000F" w:tentative="1">
      <w:start w:val="1"/>
      <w:numFmt w:val="decimal"/>
      <w:lvlText w:val="%7."/>
      <w:lvlJc w:val="left"/>
      <w:pPr>
        <w:ind w:left="4898" w:hanging="360"/>
      </w:pPr>
    </w:lvl>
    <w:lvl w:ilvl="7" w:tplc="08070019" w:tentative="1">
      <w:start w:val="1"/>
      <w:numFmt w:val="lowerLetter"/>
      <w:lvlText w:val="%8."/>
      <w:lvlJc w:val="left"/>
      <w:pPr>
        <w:ind w:left="5618" w:hanging="360"/>
      </w:pPr>
    </w:lvl>
    <w:lvl w:ilvl="8" w:tplc="0807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" w15:restartNumberingAfterBreak="0">
    <w:nsid w:val="5EA77618"/>
    <w:multiLevelType w:val="hybridMultilevel"/>
    <w:tmpl w:val="2164483E"/>
    <w:lvl w:ilvl="0" w:tplc="89A28C9E">
      <w:start w:val="1"/>
      <w:numFmt w:val="decimal"/>
      <w:lvlText w:val="%1."/>
      <w:lvlJc w:val="left"/>
      <w:pPr>
        <w:ind w:left="218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938" w:hanging="360"/>
      </w:pPr>
    </w:lvl>
    <w:lvl w:ilvl="2" w:tplc="0809001B" w:tentative="1">
      <w:start w:val="1"/>
      <w:numFmt w:val="lowerRoman"/>
      <w:lvlText w:val="%3."/>
      <w:lvlJc w:val="right"/>
      <w:pPr>
        <w:ind w:left="1658" w:hanging="180"/>
      </w:pPr>
    </w:lvl>
    <w:lvl w:ilvl="3" w:tplc="0809000F" w:tentative="1">
      <w:start w:val="1"/>
      <w:numFmt w:val="decimal"/>
      <w:lvlText w:val="%4."/>
      <w:lvlJc w:val="left"/>
      <w:pPr>
        <w:ind w:left="2378" w:hanging="360"/>
      </w:pPr>
    </w:lvl>
    <w:lvl w:ilvl="4" w:tplc="08090019" w:tentative="1">
      <w:start w:val="1"/>
      <w:numFmt w:val="lowerLetter"/>
      <w:lvlText w:val="%5."/>
      <w:lvlJc w:val="left"/>
      <w:pPr>
        <w:ind w:left="3098" w:hanging="360"/>
      </w:pPr>
    </w:lvl>
    <w:lvl w:ilvl="5" w:tplc="0809001B" w:tentative="1">
      <w:start w:val="1"/>
      <w:numFmt w:val="lowerRoman"/>
      <w:lvlText w:val="%6."/>
      <w:lvlJc w:val="right"/>
      <w:pPr>
        <w:ind w:left="3818" w:hanging="180"/>
      </w:pPr>
    </w:lvl>
    <w:lvl w:ilvl="6" w:tplc="0809000F" w:tentative="1">
      <w:start w:val="1"/>
      <w:numFmt w:val="decimal"/>
      <w:lvlText w:val="%7."/>
      <w:lvlJc w:val="left"/>
      <w:pPr>
        <w:ind w:left="4538" w:hanging="360"/>
      </w:pPr>
    </w:lvl>
    <w:lvl w:ilvl="7" w:tplc="08090019" w:tentative="1">
      <w:start w:val="1"/>
      <w:numFmt w:val="lowerLetter"/>
      <w:lvlText w:val="%8."/>
      <w:lvlJc w:val="left"/>
      <w:pPr>
        <w:ind w:left="5258" w:hanging="360"/>
      </w:pPr>
    </w:lvl>
    <w:lvl w:ilvl="8" w:tplc="0809001B" w:tentative="1">
      <w:start w:val="1"/>
      <w:numFmt w:val="lowerRoman"/>
      <w:lvlText w:val="%9."/>
      <w:lvlJc w:val="right"/>
      <w:pPr>
        <w:ind w:left="597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hideSpellingErrors/>
  <w:hideGrammaticalErrors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TCxMDcAQmMLQ2MTIyUdpeDU4uLM/DyQAuNaABgQTs8sAAAA"/>
  </w:docVars>
  <w:rsids>
    <w:rsidRoot w:val="005D4B44"/>
    <w:rsid w:val="00107E18"/>
    <w:rsid w:val="00140C75"/>
    <w:rsid w:val="001B7258"/>
    <w:rsid w:val="00511108"/>
    <w:rsid w:val="005621EA"/>
    <w:rsid w:val="005D4B44"/>
    <w:rsid w:val="00602A5C"/>
    <w:rsid w:val="00681B43"/>
    <w:rsid w:val="007A236F"/>
    <w:rsid w:val="007C0DE8"/>
    <w:rsid w:val="007F48CF"/>
    <w:rsid w:val="008E5563"/>
    <w:rsid w:val="00BB01B3"/>
    <w:rsid w:val="00CE6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5B215B"/>
  <w15:chartTrackingRefBased/>
  <w15:docId w15:val="{8D829D7B-7DA8-4C09-BA03-BD4710D853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D4B44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5D4B44"/>
    <w:pPr>
      <w:spacing w:after="0" w:line="240" w:lineRule="auto"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D4B4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5D4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D4B44"/>
    <w:rPr>
      <w:lang w:val="en-GB"/>
    </w:rPr>
  </w:style>
  <w:style w:type="paragraph" w:styleId="Footer">
    <w:name w:val="footer"/>
    <w:basedOn w:val="Normal"/>
    <w:link w:val="FooterChar"/>
    <w:uiPriority w:val="99"/>
    <w:unhideWhenUsed/>
    <w:rsid w:val="005D4B4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D4B44"/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194</Words>
  <Characters>1225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Swiss TPH</Company>
  <LinksUpToDate>false</LinksUpToDate>
  <CharactersWithSpaces>1417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Mohammed Alkhaldi</dc:creator>
  <cp:keywords/>
  <dc:description/>
  <cp:lastModifiedBy>Mohammed Alkhaldi</cp:lastModifiedBy>
  <cp:revision>4</cp:revision>
  <dcterms:created xsi:type="dcterms:W3CDTF">2020-10-29T23:17:00Z</dcterms:created>
  <dcterms:modified xsi:type="dcterms:W3CDTF">2020-12-07T06:47:00Z</dcterms:modified>
</cp:coreProperties>
</file>