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Table S1</w:t>
      </w:r>
    </w:p>
    <w:p>
      <w:pPr>
        <w:rPr>
          <w:rFonts w:hint="default" w:ascii="Times New Roman" w:hAnsi="Times New Roman" w:eastAsia="宋体" w:cs="Times New Roman"/>
          <w:i w:val="0"/>
          <w:color w:val="000000"/>
          <w:sz w:val="22"/>
          <w:szCs w:val="22"/>
          <w:u w:val="none"/>
        </w:rPr>
      </w:pPr>
      <w:r>
        <w:rPr>
          <w:rFonts w:hint="eastAsia" w:ascii="Times New Roman" w:hAnsi="Times New Roman" w:cs="Times New Roman"/>
          <w:b w:val="0"/>
          <w:bCs w:val="0"/>
        </w:rPr>
        <w:t xml:space="preserve">Association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of</w:t>
      </w:r>
      <w:bookmarkStart w:id="0" w:name="_GoBack"/>
      <w:bookmarkEnd w:id="0"/>
      <w:r>
        <w:rPr>
          <w:rFonts w:hint="eastAsia" w:ascii="Times New Roman" w:hAnsi="Times New Roman" w:cs="Times New Roman"/>
          <w:b w:val="0"/>
          <w:bCs w:val="0"/>
        </w:rPr>
        <w:t> TyG index and TG/HDL-C ratio with artery stiffness in 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subgroups of </w:t>
      </w:r>
      <w:r>
        <w:rPr>
          <w:rFonts w:hint="eastAsia" w:ascii="Times New Roman" w:hAnsi="Times New Roman" w:cs="Times New Roman"/>
          <w:b w:val="0"/>
          <w:bCs w:val="0"/>
        </w:rPr>
        <w:t>hypertensive population.</w:t>
      </w:r>
    </w:p>
    <w:tbl>
      <w:tblPr>
        <w:tblW w:w="8298" w:type="dxa"/>
        <w:tblInd w:w="0" w:type="dxa"/>
        <w:tblBorders>
          <w:top w:val="single" w:color="auto" w:sz="4" w:space="0"/>
          <w:left w:val="none" w:color="auto" w:sz="4" w:space="0"/>
          <w:bottom w:val="single" w:color="auto" w:sz="4" w:space="0"/>
          <w:right w:val="none" w:color="auto" w:sz="4" w:space="0"/>
          <w:insideH w:val="none" w:color="auto" w:sz="4" w:space="0"/>
          <w:insideV w:val="non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4"/>
        <w:gridCol w:w="857"/>
        <w:gridCol w:w="1575"/>
        <w:gridCol w:w="986"/>
        <w:gridCol w:w="889"/>
        <w:gridCol w:w="1575"/>
        <w:gridCol w:w="1082"/>
      </w:tblGrid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vMerge w:val="restart"/>
            <w:tcBorders>
              <w:left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8" w:type="dxa"/>
            <w:gridSpan w:val="3"/>
            <w:tcBorders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TyG index</w:t>
            </w:r>
          </w:p>
        </w:tc>
        <w:tc>
          <w:tcPr>
            <w:tcW w:w="3546" w:type="dxa"/>
            <w:gridSpan w:val="3"/>
            <w:tcBorders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TG/HDL-C ratio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HR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95% CI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 value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HR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95% CI</w:t>
            </w:r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Model 1</w:t>
            </w:r>
          </w:p>
        </w:tc>
        <w:tc>
          <w:tcPr>
            <w:tcW w:w="85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SBP&lt;140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0.886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0.451-1.74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0.726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0.962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0.69-1.341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0.818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SBP&gt;=140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1.414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1.178-1.696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1.008-1.136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0.047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drug=no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1.394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1.155-1.682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1.062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1.024-1.135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0.043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drug=yes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0.581-1.72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0.952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0.701-1.294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0.754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BMI&lt;25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1.297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0.966-1.741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1.109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0.964-1.276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0.146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BMI&gt;=25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1.563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1.25-1.955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1.067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1.026-1.148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0.045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DM=no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1.193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0.948-1.502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0.132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0.95-1.17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0.318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DM=yes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1.548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1.142-2.098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1.048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1.027-1.136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0.046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Model 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SBP&lt;140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0.979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0.472-2.029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0.984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0.705-1.373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0.923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SBP&gt;=140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1.456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1.207-1.755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1.007-1.134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0.042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drug=no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1.18-1.733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1.059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1.013-1.129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0.047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drug=yes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0.582-1.798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0.936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0.895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0.639-1.253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0.517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BMI&lt;25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1.318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0.96-1.809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0.088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1.108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0.959-1.282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0.164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BMI&gt;=25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1.459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1.167-1.822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1.022-1.123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0.027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DM=no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1.206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0.949-1.533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0.125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1.054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0.948-1.172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0.333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DM=yes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1.553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1.139-2.118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1.038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1.019-1.123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0.035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Model 3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SBP&lt;140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0.909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0.437-1.892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0.799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0.648-1.321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0.669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SBP&gt;=140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1.419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1.154-1.744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1.084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1.014-1.159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0.019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drug=no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1.441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1.168-1.779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1.087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1.017-1.162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0.014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drug=yes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0.795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0.418-1.511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0.484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0.812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0.54-1.222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0.319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BMI&lt;25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1.259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1.027-1.749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0.048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1.049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1.012-1.224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0.049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BMI&gt;=25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1.481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1.149-1.909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1.079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1.007-1.156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0.031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DM=no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1.277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1.095-1.64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1.048-1.174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34" w:type="dxa"/>
            <w:tcBorders>
              <w:top w:val="nil"/>
              <w:left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DM=yes</w:t>
            </w:r>
          </w:p>
        </w:tc>
        <w:tc>
          <w:tcPr>
            <w:tcW w:w="857" w:type="dxa"/>
            <w:tcBorders>
              <w:top w:val="nil"/>
              <w:left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1.769</w:t>
            </w:r>
          </w:p>
        </w:tc>
        <w:tc>
          <w:tcPr>
            <w:tcW w:w="1575" w:type="dxa"/>
            <w:tcBorders>
              <w:top w:val="nil"/>
              <w:left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1.237-2.531</w:t>
            </w:r>
          </w:p>
        </w:tc>
        <w:tc>
          <w:tcPr>
            <w:tcW w:w="986" w:type="dxa"/>
            <w:tcBorders>
              <w:top w:val="nil"/>
              <w:left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0.002</w:t>
            </w:r>
          </w:p>
        </w:tc>
        <w:tc>
          <w:tcPr>
            <w:tcW w:w="889" w:type="dxa"/>
            <w:tcBorders>
              <w:top w:val="nil"/>
              <w:left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1.102</w:t>
            </w:r>
          </w:p>
        </w:tc>
        <w:tc>
          <w:tcPr>
            <w:tcW w:w="1575" w:type="dxa"/>
            <w:tcBorders>
              <w:top w:val="nil"/>
              <w:left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1.018-1.194</w:t>
            </w:r>
          </w:p>
        </w:tc>
        <w:tc>
          <w:tcPr>
            <w:tcW w:w="1082" w:type="dxa"/>
            <w:tcBorders>
              <w:top w:val="nil"/>
              <w:left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0.017</w:t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Model 1: adjusted age and sex;</w:t>
      </w:r>
    </w:p>
    <w:p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Model 2: model 1 and BMI, WHR, SBP, DBP;</w:t>
      </w:r>
    </w:p>
    <w:p>
      <w:pPr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cs="Times New Roman"/>
        </w:rPr>
        <w:t xml:space="preserve">Model 3: model 2 and smoking status, drinking status, physical activity, serum uric acid, serum homocysteine, eGFR, diabetes, fatty liver, use of </w:t>
      </w:r>
      <w: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t>anti-hypertension</w:t>
      </w:r>
      <w:r>
        <w:rPr>
          <w:rFonts w:hint="eastAsia" w:ascii="Times New Roman" w:hAnsi="Times New Roman" w:eastAsia="宋体" w:cs="Times New Roman"/>
          <w:color w:val="000000"/>
          <w:kern w:val="0"/>
          <w:szCs w:val="21"/>
          <w:lang w:bidi="ar"/>
        </w:rPr>
        <w:t xml:space="preserve"> medication.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0D5B1B"/>
    <w:rsid w:val="2F0D5B1B"/>
    <w:rsid w:val="333D2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  <w:rPr>
      <w:rFonts w:eastAsia="Calibri Ligh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2020-11-23T02:03:00Z</dcterms:created>
  <dc:creator>武</dc:creator>
  <cp:lastModifiedBy>武</cp:lastModifiedBy>
  <dcterms:modified xsi:type="dcterms:W3CDTF">2020-11-23T02:09:48Z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