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855DEA" w14:textId="77777777" w:rsidR="00FA6650" w:rsidRDefault="00FA6650" w:rsidP="00FA6650">
      <w:pPr>
        <w:jc w:val="center"/>
        <w:rPr>
          <w:b/>
          <w:bCs/>
          <w:sz w:val="28"/>
          <w:szCs w:val="28"/>
        </w:rPr>
      </w:pPr>
      <w:r>
        <w:rPr>
          <w:b/>
          <w:bCs/>
          <w:sz w:val="28"/>
          <w:szCs w:val="28"/>
        </w:rPr>
        <w:t>Web Annex Details on methodologies of the costing analyses</w:t>
      </w:r>
    </w:p>
    <w:p w14:paraId="157091D5" w14:textId="77777777" w:rsidR="00FA6650" w:rsidRDefault="00FA6650" w:rsidP="00FA6650">
      <w:pPr>
        <w:rPr>
          <w:sz w:val="28"/>
          <w:szCs w:val="28"/>
        </w:rPr>
      </w:pPr>
    </w:p>
    <w:p w14:paraId="640D3472" w14:textId="77777777" w:rsidR="00FA6650" w:rsidRDefault="00FA6650" w:rsidP="00FA6650">
      <w:pPr>
        <w:pStyle w:val="ListParagraph"/>
        <w:numPr>
          <w:ilvl w:val="0"/>
          <w:numId w:val="1"/>
        </w:numPr>
        <w:rPr>
          <w:sz w:val="28"/>
          <w:szCs w:val="28"/>
        </w:rPr>
      </w:pPr>
      <w:r>
        <w:rPr>
          <w:sz w:val="28"/>
          <w:szCs w:val="28"/>
        </w:rPr>
        <w:t>Estimating the effects of COVID19 on the financing landscape</w:t>
      </w:r>
    </w:p>
    <w:p w14:paraId="69A1D845" w14:textId="77777777" w:rsidR="00FA6650" w:rsidRPr="00FA6650" w:rsidRDefault="00FA6650" w:rsidP="00FA6650">
      <w:pPr>
        <w:ind w:left="360"/>
        <w:jc w:val="both"/>
        <w:rPr>
          <w:rStyle w:val="Hyperlink"/>
          <w:rFonts w:cstheme="minorHAnsi"/>
          <w:color w:val="000000" w:themeColor="text1"/>
          <w:u w:val="none"/>
        </w:rPr>
      </w:pPr>
      <w:r w:rsidRPr="00FA6650">
        <w:rPr>
          <w:rStyle w:val="Hyperlink"/>
          <w:rFonts w:cstheme="minorHAnsi"/>
          <w:color w:val="000000" w:themeColor="text1"/>
          <w:u w:val="none"/>
        </w:rPr>
        <w:t>The total cost of interventions needed to combat the adverse impact of COVID-19 is estimated to be US$940 million (</w:t>
      </w:r>
      <w:r w:rsidRPr="00FA6650">
        <w:rPr>
          <w:rStyle w:val="Hyperlink"/>
          <w:rFonts w:cstheme="minorHAnsi"/>
          <w:b/>
          <w:bCs/>
          <w:color w:val="000000" w:themeColor="text1"/>
          <w:u w:val="none"/>
        </w:rPr>
        <w:t>see below</w:t>
      </w:r>
      <w:r w:rsidRPr="00FA6650">
        <w:rPr>
          <w:rStyle w:val="Hyperlink"/>
          <w:rFonts w:cstheme="minorHAnsi"/>
          <w:color w:val="000000" w:themeColor="text1"/>
          <w:u w:val="none"/>
        </w:rPr>
        <w:t xml:space="preserve">). This is in addition to the US$7 billion per year of financial resources needed to scale up the high impact nutrition-specific interventions to achieve the WHA nutrition targets, as estimated by the Investment Framework for Nutrition, as well as the resources needed to scale up interventions across nutrition-sensitive sectors. A key question is how the nutrition financing landscape itself can be expected to change as a result of the COVID-19 induced economic crisis, based on recent precedent. </w:t>
      </w:r>
    </w:p>
    <w:p w14:paraId="00F2CDA0" w14:textId="236A8183" w:rsidR="00FA6650" w:rsidRPr="002B4D57" w:rsidRDefault="00FA6650" w:rsidP="00FA6650">
      <w:pPr>
        <w:ind w:left="360"/>
        <w:jc w:val="both"/>
        <w:rPr>
          <w:rStyle w:val="Hyperlink"/>
          <w:rFonts w:cstheme="minorHAnsi"/>
          <w:color w:val="000000" w:themeColor="text1"/>
          <w:u w:val="none"/>
        </w:rPr>
      </w:pPr>
      <w:r w:rsidRPr="002B4D57">
        <w:rPr>
          <w:rStyle w:val="Hyperlink"/>
          <w:rFonts w:cstheme="minorHAnsi"/>
          <w:b/>
          <w:bCs/>
          <w:color w:val="000000" w:themeColor="text1"/>
          <w:u w:val="none"/>
        </w:rPr>
        <w:t>ODA</w:t>
      </w:r>
      <w:r w:rsidRPr="002B4D57">
        <w:rPr>
          <w:rStyle w:val="Hyperlink"/>
          <w:rFonts w:cstheme="minorHAnsi"/>
          <w:color w:val="000000" w:themeColor="text1"/>
          <w:u w:val="none"/>
        </w:rPr>
        <w:t xml:space="preserve">: Several studies have assessed empirically the impact of economic fluctuations on donor financing. </w:t>
      </w:r>
      <w:proofErr w:type="spellStart"/>
      <w:r w:rsidRPr="002B4D57">
        <w:rPr>
          <w:rStyle w:val="Hyperlink"/>
          <w:rFonts w:cstheme="minorHAnsi"/>
          <w:color w:val="000000" w:themeColor="text1"/>
          <w:u w:val="none"/>
        </w:rPr>
        <w:t>Dabla</w:t>
      </w:r>
      <w:proofErr w:type="spellEnd"/>
      <w:r w:rsidRPr="002B4D57">
        <w:rPr>
          <w:rStyle w:val="Hyperlink"/>
          <w:rFonts w:cstheme="minorHAnsi"/>
          <w:color w:val="000000" w:themeColor="text1"/>
          <w:u w:val="none"/>
        </w:rPr>
        <w:t>-Norris et al</w:t>
      </w:r>
      <w:r w:rsidRPr="002B4D57">
        <w:rPr>
          <w:rStyle w:val="Hyperlink"/>
          <w:rFonts w:cstheme="minorHAnsi"/>
          <w:color w:val="000000" w:themeColor="text1"/>
          <w:u w:val="none"/>
        </w:rPr>
        <w:fldChar w:fldCharType="begin" w:fldLock="1"/>
      </w:r>
      <w:r w:rsidR="00D926F9" w:rsidRPr="002B4D57">
        <w:rPr>
          <w:rStyle w:val="Hyperlink"/>
          <w:rFonts w:cstheme="minorHAnsi"/>
          <w:color w:val="000000" w:themeColor="text1"/>
          <w:u w:val="none"/>
        </w:rPr>
        <w:instrText>ADDIN CSL_CITATION {"citationItems":[{"id":"ITEM-1","itemData":{"DOI":"10.5089/9781455209408.001","ISSN":"1018-5941","abstract":"We examine the cyclical properties of development aid using bilateral data for 22 donors and\\r\\nover 100 recipients during 1970‒2005. We find that bilateral aid flows are on average\\r\\nprocyclical with respect to business cycles in donor and recipient countries. However, they\\r\\nbecome countercyclical when recipient countries face large adverse shocks to the terms-oftrade\\r\\nor growth collapses—thus playing an important cushioning role. Aid outlays contract\\r\\nsharply during severe donor economic downturns; this effect is magnified by higher public\\r\\ndebt levels. Additionally, bilateral aid flows are higher in the presence of IMF programs and\\r\\nare more countercyclical for recipient countries with stronger institutions. ","author":[{"dropping-particle":"","family":"Dabla-Norris","given":"Era","non-dropping-particle":"","parse-names":false,"suffix":""},{"dropping-particle":"","family":"Minoiu","given":"Camelia","non-dropping-particle":"","parse-names":false,"suffix":""},{"dropping-particle":"","family":"Zanna","given":"Luis-Felipe","non-dropping-particle":"","parse-names":false,"suffix":""}],"container-title":"IMF Working Papers","id":"ITEM-1","issued":{"date-parts":[["2010"]]},"title":"Business Cycle Fluctuations, Large Shocks, and Development Aid: New Evidence","type":"article-journal"},"uris":["http://www.mendeley.com/documents/?uuid=7d35a748-6932-49e0-8abc-a8944927b3ce"]}],"mendeley":{"formattedCitation":"&lt;sup&gt;4&lt;/sup&gt;","plainTextFormattedCitation":"4","previouslyFormattedCitation":"&lt;sup&gt;4&lt;/sup&gt;"},"properties":{"noteIndex":0},"schema":"https://github.com/citation-style-language/schema/raw/master/csl-citation.json"}</w:instrText>
      </w:r>
      <w:r w:rsidRPr="002B4D57">
        <w:rPr>
          <w:rStyle w:val="Hyperlink"/>
          <w:rFonts w:cstheme="minorHAnsi"/>
          <w:color w:val="000000" w:themeColor="text1"/>
          <w:u w:val="none"/>
        </w:rPr>
        <w:fldChar w:fldCharType="separate"/>
      </w:r>
      <w:r w:rsidRPr="002B4D57">
        <w:rPr>
          <w:rStyle w:val="Hyperlink"/>
          <w:rFonts w:cstheme="minorHAnsi"/>
          <w:noProof/>
          <w:color w:val="000000" w:themeColor="text1"/>
          <w:u w:val="none"/>
          <w:vertAlign w:val="superscript"/>
        </w:rPr>
        <w:t>4</w:t>
      </w:r>
      <w:r w:rsidRPr="002B4D57">
        <w:rPr>
          <w:rStyle w:val="Hyperlink"/>
          <w:rFonts w:cstheme="minorHAnsi"/>
          <w:color w:val="000000" w:themeColor="text1"/>
          <w:u w:val="none"/>
        </w:rPr>
        <w:fldChar w:fldCharType="end"/>
      </w:r>
      <w:r w:rsidRPr="002B4D57">
        <w:rPr>
          <w:rStyle w:val="Hyperlink"/>
          <w:rFonts w:cstheme="minorHAnsi"/>
          <w:color w:val="000000" w:themeColor="text1"/>
          <w:u w:val="none"/>
        </w:rPr>
        <w:t xml:space="preserve"> found that bilateral aid is procyclical on average, and especially during recessions, based on 22 donors between 1970 and 2005. Consistent with this, Dang</w:t>
      </w:r>
      <w:r w:rsidR="00D926F9" w:rsidRPr="002B4D57">
        <w:rPr>
          <w:rStyle w:val="Hyperlink"/>
          <w:rFonts w:cstheme="minorHAnsi"/>
          <w:color w:val="000000" w:themeColor="text1"/>
          <w:u w:val="none"/>
        </w:rPr>
        <w:fldChar w:fldCharType="begin" w:fldLock="1"/>
      </w:r>
      <w:r w:rsidR="00D926F9" w:rsidRPr="002B4D57">
        <w:rPr>
          <w:rStyle w:val="Hyperlink"/>
          <w:rFonts w:cstheme="minorHAnsi"/>
          <w:color w:val="000000" w:themeColor="text1"/>
          <w:u w:val="none"/>
        </w:rPr>
        <w:instrText>ADDIN CSL_CITATION {"citationItems":[{"id":"ITEM-1","itemData":{"author":[{"dropping-particle":"","family":"Dang, H., Knack, S., and Rogers","given":"H","non-dropping-particle":"","parse-names":false,"suffix":""}],"id":"ITEM-1","issued":{"date-parts":[["2009"]]},"title":"International aid and financial crises in donor countries. Policy Research Working Paper Series 5162, The World Bank.","type":"report"},"uris":["http://www.mendeley.com/documents/?uuid=1f57952e-a9f0-4054-aa60-202927d7f37d"]}],"mendeley":{"formattedCitation":"&lt;sup&gt;5&lt;/sup&gt;","plainTextFormattedCitation":"5","previouslyFormattedCitation":"&lt;sup&gt;5&lt;/sup&gt;"},"properties":{"noteIndex":0},"schema":"https://github.com/citation-style-language/schema/raw/master/csl-citation.json"}</w:instrText>
      </w:r>
      <w:r w:rsidR="00D926F9" w:rsidRPr="002B4D57">
        <w:rPr>
          <w:rStyle w:val="Hyperlink"/>
          <w:rFonts w:cstheme="minorHAnsi"/>
          <w:color w:val="000000" w:themeColor="text1"/>
          <w:u w:val="none"/>
        </w:rPr>
        <w:fldChar w:fldCharType="separate"/>
      </w:r>
      <w:r w:rsidR="00D926F9" w:rsidRPr="002B4D57">
        <w:rPr>
          <w:rStyle w:val="Hyperlink"/>
          <w:rFonts w:cstheme="minorHAnsi"/>
          <w:noProof/>
          <w:color w:val="000000" w:themeColor="text1"/>
          <w:u w:val="none"/>
          <w:vertAlign w:val="superscript"/>
        </w:rPr>
        <w:t>5</w:t>
      </w:r>
      <w:r w:rsidR="00D926F9" w:rsidRPr="002B4D57">
        <w:rPr>
          <w:rStyle w:val="Hyperlink"/>
          <w:rFonts w:cstheme="minorHAnsi"/>
          <w:color w:val="000000" w:themeColor="text1"/>
          <w:u w:val="none"/>
        </w:rPr>
        <w:fldChar w:fldCharType="end"/>
      </w:r>
      <w:r w:rsidRPr="002B4D57">
        <w:rPr>
          <w:rStyle w:val="Hyperlink"/>
          <w:rFonts w:cstheme="minorHAnsi"/>
          <w:color w:val="000000" w:themeColor="text1"/>
          <w:u w:val="none"/>
        </w:rPr>
        <w:t xml:space="preserve">  and Frot</w:t>
      </w:r>
      <w:r w:rsidR="00D926F9" w:rsidRPr="002B4D57">
        <w:rPr>
          <w:rStyle w:val="Hyperlink"/>
          <w:rFonts w:cstheme="minorHAnsi"/>
          <w:color w:val="000000" w:themeColor="text1"/>
          <w:u w:val="none"/>
        </w:rPr>
        <w:fldChar w:fldCharType="begin" w:fldLock="1"/>
      </w:r>
      <w:r w:rsidR="00D926F9" w:rsidRPr="002B4D57">
        <w:rPr>
          <w:rStyle w:val="Hyperlink"/>
          <w:rFonts w:cstheme="minorHAnsi"/>
          <w:color w:val="000000" w:themeColor="text1"/>
          <w:u w:val="none"/>
        </w:rPr>
        <w:instrText>ADDIN CSL_CITATION {"citationItems":[{"id":"ITEM-1","itemData":{"DOI":"10.2139/ssrn.1402788","ISSN":"1556-5068","abstract":"This paper estimates the likely consequences of the financial crisis on aid budgets. It uses two different approaches. First, past financial crises are used to compare aid budgets between countries where a crisis broke out and those where it did not. It is shown that a financial crisis not only decreases aid, but also changes its trend. I find that a crisis decreases aid by 13 percent, or that the time trend after the crisis implies aid falls by 5 additional percent per year. Countries that experienced a crisis therefore tended to significantly slow down (and often reverse) their aid budget expansion. Second, vector autoregressions unveil a significant and usually long-lasting consequence of GDP shocks on aid. Five years after a negative GDP growth shock of 1 percent, aid budgets fall by as much as 8 percent. At current aid levels, that is equivalent to a US $7 billion drop in aid disbursements.    The conclusion of the paper is therefore that aid is likely to be significantly reduced by the global financial crisis unless preventive action is taken.","author":[{"dropping-particle":"","family":"Frot","given":"Emmanuel","non-dropping-particle":"","parse-names":false,"suffix":""}],"container-title":"SSRN Electronic Journal","id":"ITEM-1","issued":{"date-parts":[["2011"]]},"page":"1-26","title":"Aid and the Financial Crisis: Shall We Expect Development Aid to Fall?","type":"article-journal"},"uris":["http://www.mendeley.com/documents/?uuid=407e5642-96e5-4d87-9941-2c4875a1223a"]}],"mendeley":{"formattedCitation":"&lt;sup&gt;6&lt;/sup&gt;","plainTextFormattedCitation":"6","previouslyFormattedCitation":"&lt;sup&gt;6&lt;/sup&gt;"},"properties":{"noteIndex":0},"schema":"https://github.com/citation-style-language/schema/raw/master/csl-citation.json"}</w:instrText>
      </w:r>
      <w:r w:rsidR="00D926F9" w:rsidRPr="002B4D57">
        <w:rPr>
          <w:rStyle w:val="Hyperlink"/>
          <w:rFonts w:cstheme="minorHAnsi"/>
          <w:color w:val="000000" w:themeColor="text1"/>
          <w:u w:val="none"/>
        </w:rPr>
        <w:fldChar w:fldCharType="separate"/>
      </w:r>
      <w:r w:rsidR="00D926F9" w:rsidRPr="002B4D57">
        <w:rPr>
          <w:rStyle w:val="Hyperlink"/>
          <w:rFonts w:cstheme="minorHAnsi"/>
          <w:noProof/>
          <w:color w:val="000000" w:themeColor="text1"/>
          <w:u w:val="none"/>
          <w:vertAlign w:val="superscript"/>
        </w:rPr>
        <w:t>6</w:t>
      </w:r>
      <w:r w:rsidR="00D926F9" w:rsidRPr="002B4D57">
        <w:rPr>
          <w:rStyle w:val="Hyperlink"/>
          <w:rFonts w:cstheme="minorHAnsi"/>
          <w:color w:val="000000" w:themeColor="text1"/>
          <w:u w:val="none"/>
        </w:rPr>
        <w:fldChar w:fldCharType="end"/>
      </w:r>
      <w:r w:rsidRPr="002B4D57">
        <w:rPr>
          <w:rStyle w:val="Hyperlink"/>
          <w:rFonts w:cstheme="minorHAnsi"/>
          <w:color w:val="000000" w:themeColor="text1"/>
          <w:u w:val="none"/>
        </w:rPr>
        <w:t xml:space="preserve"> used panel regression analysis to show that the relationship between aid and growth in donor countries is particularly strong during economic downturns. Fuchs et al.</w:t>
      </w:r>
      <w:r w:rsidR="00D926F9" w:rsidRPr="002B4D57">
        <w:rPr>
          <w:rStyle w:val="Hyperlink"/>
          <w:rFonts w:cstheme="minorHAnsi"/>
          <w:color w:val="000000" w:themeColor="text1"/>
          <w:u w:val="none"/>
        </w:rPr>
        <w:fldChar w:fldCharType="begin" w:fldLock="1"/>
      </w:r>
      <w:r w:rsidR="00D926F9" w:rsidRPr="002B4D57">
        <w:rPr>
          <w:rStyle w:val="Hyperlink"/>
          <w:rFonts w:cstheme="minorHAnsi"/>
          <w:color w:val="000000" w:themeColor="text1"/>
          <w:u w:val="none"/>
        </w:rPr>
        <w:instrText>ADDIN CSL_CITATION {"citationItems":[{"id":"ITEM-1","itemData":{"DOI":"10.1016/j.worlddev.2013.09.004","ISSN":"0305750X","abstract":"This article provides a survey of the aid budget literature and examines the determinants of the development aid efforts of 22 Development Assistance Committee (DAC) members over the 1976-2011 period. In fixed effects regressions, we identify aid inertia, per-capita GDP, the creation of an independent aid agency, colonial history, Russian military capacity, peer effects, terror incidents, aid to CEEC/NIS countries, and imports from developing countries as determinants of the Official Development Assistance (ODA)-to-GNI ratio. Excluding donor fixed effects, several variables, including colonial history and the aid agency dummy, are no longer significant; the impact of per-capita GDP gets weaker, while donors' budget deficits decrease aid effort. © 2013 Elsevier Ltd.","author":[{"dropping-particle":"","family":"Fuchs","given":"Andreas","non-dropping-particle":"","parse-names":false,"suffix":""},{"dropping-particle":"","family":"Dreher","given":"Axel","non-dropping-particle":"","parse-names":false,"suffix":""},{"dropping-particle":"","family":"Nunnenkamp","given":"Peter","non-dropping-particle":"","parse-names":false,"suffix":""}],"container-title":"World Development","id":"ITEM-1","issued":{"date-parts":[["2014"]]},"title":"Determinants of donor generosity: A survey of the aid budget literature","type":"article-journal"},"uris":["http://www.mendeley.com/documents/?uuid=f9d7b692-75a1-4411-99d8-1d375996eab9"]}],"mendeley":{"formattedCitation":"&lt;sup&gt;7&lt;/sup&gt;","plainTextFormattedCitation":"7","previouslyFormattedCitation":"&lt;sup&gt;7&lt;/sup&gt;"},"properties":{"noteIndex":0},"schema":"https://github.com/citation-style-language/schema/raw/master/csl-citation.json"}</w:instrText>
      </w:r>
      <w:r w:rsidR="00D926F9" w:rsidRPr="002B4D57">
        <w:rPr>
          <w:rStyle w:val="Hyperlink"/>
          <w:rFonts w:cstheme="minorHAnsi"/>
          <w:color w:val="000000" w:themeColor="text1"/>
          <w:u w:val="none"/>
        </w:rPr>
        <w:fldChar w:fldCharType="separate"/>
      </w:r>
      <w:r w:rsidR="00D926F9" w:rsidRPr="002B4D57">
        <w:rPr>
          <w:rStyle w:val="Hyperlink"/>
          <w:rFonts w:cstheme="minorHAnsi"/>
          <w:noProof/>
          <w:color w:val="000000" w:themeColor="text1"/>
          <w:u w:val="none"/>
          <w:vertAlign w:val="superscript"/>
        </w:rPr>
        <w:t>7</w:t>
      </w:r>
      <w:r w:rsidR="00D926F9" w:rsidRPr="002B4D57">
        <w:rPr>
          <w:rStyle w:val="Hyperlink"/>
          <w:rFonts w:cstheme="minorHAnsi"/>
          <w:color w:val="000000" w:themeColor="text1"/>
          <w:u w:val="none"/>
        </w:rPr>
        <w:fldChar w:fldCharType="end"/>
      </w:r>
      <w:r w:rsidRPr="002B4D57">
        <w:rPr>
          <w:rStyle w:val="Hyperlink"/>
          <w:rFonts w:cstheme="minorHAnsi"/>
          <w:color w:val="000000" w:themeColor="text1"/>
          <w:u w:val="none"/>
        </w:rPr>
        <w:t xml:space="preserve"> use a fixed effects regression with 22 donor countries from 1976 to 2011. They found that Official Development Assistance (ODA)’s share of gross national income per capita is irresponsive to short-term budget conditions and economic growth (implying that ODA levels are procyclical). </w:t>
      </w:r>
    </w:p>
    <w:p w14:paraId="7DC71E94" w14:textId="47C01F2A" w:rsidR="00FA6650" w:rsidRPr="002B4D57" w:rsidRDefault="00FA6650" w:rsidP="00FA6650">
      <w:pPr>
        <w:ind w:left="360"/>
        <w:jc w:val="both"/>
        <w:rPr>
          <w:rStyle w:val="Hyperlink"/>
          <w:rFonts w:cstheme="minorHAnsi"/>
          <w:color w:val="000000" w:themeColor="text1"/>
          <w:u w:val="none"/>
        </w:rPr>
      </w:pPr>
      <w:r w:rsidRPr="002B4D57">
        <w:rPr>
          <w:rStyle w:val="Hyperlink"/>
          <w:rFonts w:cstheme="minorHAnsi"/>
          <w:color w:val="000000" w:themeColor="text1"/>
          <w:u w:val="none"/>
        </w:rPr>
        <w:t xml:space="preserve">While there is little analysis specific to each of the nutrition-sensitive sectors, a few papers have studied development assistance for health. </w:t>
      </w:r>
      <w:proofErr w:type="spellStart"/>
      <w:r w:rsidRPr="002B4D57">
        <w:rPr>
          <w:rStyle w:val="Hyperlink"/>
          <w:rFonts w:cstheme="minorHAnsi"/>
          <w:color w:val="000000" w:themeColor="text1"/>
          <w:u w:val="none"/>
        </w:rPr>
        <w:t>Stuckler</w:t>
      </w:r>
      <w:proofErr w:type="spellEnd"/>
      <w:r w:rsidRPr="002B4D57">
        <w:rPr>
          <w:rStyle w:val="Hyperlink"/>
          <w:rFonts w:cstheme="minorHAnsi"/>
          <w:color w:val="000000" w:themeColor="text1"/>
          <w:u w:val="none"/>
        </w:rPr>
        <w:t xml:space="preserve"> et al.</w:t>
      </w:r>
      <w:r w:rsidR="00D926F9" w:rsidRPr="002B4D57">
        <w:rPr>
          <w:rStyle w:val="Hyperlink"/>
          <w:rFonts w:cstheme="minorHAnsi"/>
          <w:color w:val="000000" w:themeColor="text1"/>
          <w:u w:val="none"/>
        </w:rPr>
        <w:fldChar w:fldCharType="begin" w:fldLock="1"/>
      </w:r>
      <w:r w:rsidR="00D926F9" w:rsidRPr="002B4D57">
        <w:rPr>
          <w:rStyle w:val="Hyperlink"/>
          <w:rFonts w:cstheme="minorHAnsi"/>
          <w:color w:val="000000" w:themeColor="text1"/>
          <w:u w:val="none"/>
        </w:rPr>
        <w:instrText>ADDIN CSL_CITATION {"citationItems":[{"id":"ITEM-1","itemData":{"DOI":"10.2471/blt.10.080663","ISSN":"0042-9686","abstract":"Objective To test the hypothesis that economic recessions lead to reduced global development assistance for health (DAH). Methods Data obtained from the Creditor Reporting System of the Organisation for Economic Co-operation and Development (OECD) for 15 OECD countries were used to model the percentage change (relative difference) in commitments and disbursements for DAH as a function of three measures of economic recession: recessionary year (as a dummy variable with 0 for no recession and 1 for recession), percentage change in per capita gross domestic product and percentage point change in unemployment rate for recessionary cycles from 1975 through 2007. We looked for an association both during the concurrent recessionary year and one and two years later. Findings No statistically significant association was found in the short or long run between measures of economic recession and the amount of official DAH committed or disbursed. Conclusion Any important decrease in overall DAH following the current economic recession would have little historical precedent and claims of inevitability would be unjustifiable.","author":[{"dropping-particle":"","family":"Stuckler","given":"David","non-dropping-particle":"","parse-names":false,"suffix":""},{"dropping-particle":"","family":"Basu","given":"Sanjay","non-dropping-particle":"","parse-names":false,"suffix":""},{"dropping-particle":"","family":"Wang","given":"Stephanie W","non-dropping-particle":"","parse-names":false,"suffix":""},{"dropping-particle":"","family":"McKee","given":"Martin","non-dropping-particle":"","parse-names":false,"suffix":""}],"container-title":"Bulletin of the World Health Organization","id":"ITEM-1","issued":{"date-parts":[["2011"]]},"title":"Does recession reduce global health aid? Evidence from 15 high-income countries, 1975–2007","type":"article-journal"},"uris":["http://www.mendeley.com/documents/?uuid=1b0e62a4-1151-4ba4-8c14-4bf0dd0191b4"]}],"mendeley":{"formattedCitation":"&lt;sup&gt;8&lt;/sup&gt;","plainTextFormattedCitation":"8","previouslyFormattedCitation":"&lt;sup&gt;8&lt;/sup&gt;"},"properties":{"noteIndex":0},"schema":"https://github.com/citation-style-language/schema/raw/master/csl-citation.json"}</w:instrText>
      </w:r>
      <w:r w:rsidR="00D926F9" w:rsidRPr="002B4D57">
        <w:rPr>
          <w:rStyle w:val="Hyperlink"/>
          <w:rFonts w:cstheme="minorHAnsi"/>
          <w:color w:val="000000" w:themeColor="text1"/>
          <w:u w:val="none"/>
        </w:rPr>
        <w:fldChar w:fldCharType="separate"/>
      </w:r>
      <w:r w:rsidR="00D926F9" w:rsidRPr="002B4D57">
        <w:rPr>
          <w:rStyle w:val="Hyperlink"/>
          <w:rFonts w:cstheme="minorHAnsi"/>
          <w:noProof/>
          <w:color w:val="000000" w:themeColor="text1"/>
          <w:u w:val="none"/>
          <w:vertAlign w:val="superscript"/>
        </w:rPr>
        <w:t>8</w:t>
      </w:r>
      <w:r w:rsidR="00D926F9" w:rsidRPr="002B4D57">
        <w:rPr>
          <w:rStyle w:val="Hyperlink"/>
          <w:rFonts w:cstheme="minorHAnsi"/>
          <w:color w:val="000000" w:themeColor="text1"/>
          <w:u w:val="none"/>
        </w:rPr>
        <w:fldChar w:fldCharType="end"/>
      </w:r>
      <w:r w:rsidRPr="002B4D57">
        <w:rPr>
          <w:rStyle w:val="Hyperlink"/>
          <w:rFonts w:cstheme="minorHAnsi"/>
          <w:color w:val="000000" w:themeColor="text1"/>
          <w:u w:val="none"/>
        </w:rPr>
        <w:t xml:space="preserve"> </w:t>
      </w:r>
      <w:proofErr w:type="spellStart"/>
      <w:r w:rsidRPr="002B4D57">
        <w:rPr>
          <w:rStyle w:val="Hyperlink"/>
          <w:rFonts w:cstheme="minorHAnsi"/>
          <w:color w:val="000000" w:themeColor="text1"/>
          <w:u w:val="none"/>
        </w:rPr>
        <w:t>analyzed</w:t>
      </w:r>
      <w:proofErr w:type="spellEnd"/>
      <w:r w:rsidRPr="002B4D57">
        <w:rPr>
          <w:rStyle w:val="Hyperlink"/>
          <w:rFonts w:cstheme="minorHAnsi"/>
          <w:color w:val="000000" w:themeColor="text1"/>
          <w:u w:val="none"/>
        </w:rPr>
        <w:t xml:space="preserve"> data from 15 OECD countries that reported to the Creditor Reporting System (CRS) between 1975 and 2007. They find that economic indicators (recession, GDP growth, and unemployment rate) do not significantly predict changes in committed ODA, even with a one- or two-year lag, though their point-estimates suggest procyclicality and they note that their study may be underpowered. Separate descriptive analyses by Leach-Kemon et al.</w:t>
      </w:r>
      <w:r w:rsidR="00D926F9" w:rsidRPr="002B4D57">
        <w:rPr>
          <w:rStyle w:val="Hyperlink"/>
          <w:rFonts w:cstheme="minorHAnsi"/>
          <w:color w:val="000000" w:themeColor="text1"/>
          <w:u w:val="none"/>
        </w:rPr>
        <w:fldChar w:fldCharType="begin" w:fldLock="1"/>
      </w:r>
      <w:r w:rsidR="00D926F9" w:rsidRPr="002B4D57">
        <w:rPr>
          <w:rStyle w:val="Hyperlink"/>
          <w:rFonts w:cstheme="minorHAnsi"/>
          <w:color w:val="000000" w:themeColor="text1"/>
          <w:u w:val="none"/>
        </w:rPr>
        <w:instrText>ADDIN CSL_CITATION {"citationItems":[{"id":"ITEM-1","itemData":{"DOI":"10.1377/hlthaff.2011.1154","ISSN":"02782715","PMID":"22174301","abstract":"How has funding to developing countries for health improvement changed in the wake of the global financial crisis? The question is vital for policy making, planning, and advocacy purposes in donor and recipient countries alike. We measured the total amount of financial and in-kind assistance that flowed from both public and private channels to improve health in developing countries during the period 1990-2011. The data for the years 1990-2009 reflect disbursements, while the numbers for 2010 and 2011 are preliminary estimates. Development assistance for health continued to grow in 2011, but the rate of growth was low. We estimate that assistance for health grew by 4 percent each year from 2009 to 2011, reaching a total of $27.73 billion. This growth was largely driven by the World Bank's International Bank for Reconstruction and Development and appeared to be a deliberate strategy in response to the global economic crisis. Assistance for health from bilateral agencies grew by only 4 percent, or $444.08 million, largely because the United States slowed its development assistance for health. Health funding through UN agencies stagnated, and the Global Fund to Fight AIDS, Tuberculosis, and Malaria announced that it would make no new grants for the next two years because of declines in funding. Given the international community's focus on meeting the Millennium Development Goals by 2015 and persistent economic hardship in donor countries, continued measurement of development assistance for health is essential for policy making. © 2011 Project HOPE-The People-to-People Health F oundation, Inc.","author":[{"dropping-particle":"","family":"Leach-Kemon","given":"Katherine","non-dropping-particle":"","parse-names":false,"suffix":""},{"dropping-particle":"","family":"Chou","given":"David P.","non-dropping-particle":"","parse-names":false,"suffix":""},{"dropping-particle":"","family":"Schneider","given":"Matthew T.","non-dropping-particle":"","parse-names":false,"suffix":""},{"dropping-particle":"","family":"Tardif","given":"Annette","non-dropping-particle":"","parse-names":false,"suffix":""},{"dropping-particle":"","family":"Dieleman","given":"Joseph L.","non-dropping-particle":"","parse-names":false,"suffix":""},{"dropping-particle":"","family":"Brooks","given":"Benjamin P.C.","non-dropping-particle":"","parse-names":false,"suffix":""},{"dropping-particle":"","family":"Hanlon","given":"Michael","non-dropping-particle":"","parse-names":false,"suffix":""},{"dropping-particle":"","family":"Murray","given":"Christopher J.L.","non-dropping-particle":"","parse-names":false,"suffix":""}],"container-title":"Health Affairs","id":"ITEM-1","issued":{"date-parts":[["2012"]]},"title":"The global financial crisis has led to a slowdown in growth of funding to improve health in many developing countries","type":"article-journal"},"uris":["http://www.mendeley.com/documents/?uuid=bccf2d6c-2ef6-47ff-8b32-0e08a98d520f"]}],"mendeley":{"formattedCitation":"&lt;sup&gt;9&lt;/sup&gt;","plainTextFormattedCitation":"9","previouslyFormattedCitation":"&lt;sup&gt;9&lt;/sup&gt;"},"properties":{"noteIndex":0},"schema":"https://github.com/citation-style-language/schema/raw/master/csl-citation.json"}</w:instrText>
      </w:r>
      <w:r w:rsidR="00D926F9" w:rsidRPr="002B4D57">
        <w:rPr>
          <w:rStyle w:val="Hyperlink"/>
          <w:rFonts w:cstheme="minorHAnsi"/>
          <w:color w:val="000000" w:themeColor="text1"/>
          <w:u w:val="none"/>
        </w:rPr>
        <w:fldChar w:fldCharType="separate"/>
      </w:r>
      <w:r w:rsidR="00D926F9" w:rsidRPr="002B4D57">
        <w:rPr>
          <w:rStyle w:val="Hyperlink"/>
          <w:rFonts w:cstheme="minorHAnsi"/>
          <w:noProof/>
          <w:color w:val="000000" w:themeColor="text1"/>
          <w:u w:val="none"/>
          <w:vertAlign w:val="superscript"/>
        </w:rPr>
        <w:t>9</w:t>
      </w:r>
      <w:r w:rsidR="00D926F9" w:rsidRPr="002B4D57">
        <w:rPr>
          <w:rStyle w:val="Hyperlink"/>
          <w:rFonts w:cstheme="minorHAnsi"/>
          <w:color w:val="000000" w:themeColor="text1"/>
          <w:u w:val="none"/>
        </w:rPr>
        <w:fldChar w:fldCharType="end"/>
      </w:r>
      <w:r w:rsidRPr="002B4D57">
        <w:rPr>
          <w:rStyle w:val="Hyperlink"/>
          <w:rFonts w:cstheme="minorHAnsi"/>
          <w:color w:val="000000" w:themeColor="text1"/>
          <w:u w:val="none"/>
        </w:rPr>
        <w:t xml:space="preserve"> and Dieleman et al.</w:t>
      </w:r>
      <w:r w:rsidR="00D926F9" w:rsidRPr="002B4D57">
        <w:rPr>
          <w:rStyle w:val="Hyperlink"/>
          <w:rFonts w:cstheme="minorHAnsi"/>
          <w:color w:val="000000" w:themeColor="text1"/>
          <w:u w:val="none"/>
        </w:rPr>
        <w:fldChar w:fldCharType="begin" w:fldLock="1"/>
      </w:r>
      <w:r w:rsidR="00D926F9" w:rsidRPr="002B4D57">
        <w:rPr>
          <w:rStyle w:val="Hyperlink"/>
          <w:rFonts w:cstheme="minorHAnsi"/>
          <w:color w:val="000000" w:themeColor="text1"/>
          <w:u w:val="none"/>
        </w:rPr>
        <w:instrText>ADDIN CSL_CITATION {"citationItems":[{"id":"ITEM-1","itemData":{"DOI":"10.1016/S0140-6736(16)30168-4","ISSN":"1474547X","PMID":"27086170","abstract":"Background Disbursements of development assistance for health (DAH) have risen substantially during the past several decades. More recently, the international community's attention has turned to other international challenges, introducing uncertainty about the future of disbursements for DAH. Methods We collected audited budget statements, annual reports, and project-level records from the main international agencies that disbursed DAH from 1990 to the end of 2015. We standardised and combined records to provide a comprehensive set of annual disbursements. We tracked each dollar of DAH back to the source and forward to the recipient. We removed transfers between agencies to avoid double-counting and adjusted for inflation. We classified assistance into nine primary health focus areas: HIV/AIDS, tuberculosis, malaria, maternal health, newborn and child health, other infectious diseases, non-communicable diseases, Ebola, and sector-wide approaches and health system strengthening. For our statistical analysis, we grouped these health focus areas into two categories: MDG-related focus areas (HIV/AIDS, tuberculosis, malaria, child and newborn health, and maternal health) and non-MDG-related focus areas (other infectious diseases, non-communicable diseases, sector-wide approaches, and other). We used linear regression to test for structural shifts in disbursement patterns at the onset of the Millennium Development Goals (MDGs; ie, from 2000) and the global financial crisis (impact estimated to occur in 2010). We built on past trends and associations with an ensemble model to estimate DAH through the end of 2040. Findings In 2015, US$36·4 billion of DAH was disbursed, marking the fifth consecutive year of little change in the amount of resources provided by global health development partners. Between 2000 and 2009, DAH increased at 11·3% per year, whereas between 2010 and 2015, annual growth was just 1·2%. In 2015, 29·7% of DAH was for HIV/AIDS, 17·9% was for child and newborn health, and 9·8% was for maternal health. Linear regression identifies three distinct periods of growth in DAH. Between 2000 and 2009, MDG-related DAH increased by $290·4 million (95% uncertainty interval [UI] 174·3 million to 406·5 million) per year. These increases were significantly greater than were increases in non-MDG DAH during the same period (p=0·009), and were also significantly greater than increases in the previous period (p&lt;0·0001). Between 2000 and 2009, growth in DAH was h…","author":[{"dropping-particle":"","family":"Dieleman","given":"Joseph L.","non-dropping-particle":"","parse-names":false,"suffix":""},{"dropping-particle":"","family":"Schneider","given":"Matthew T.","non-dropping-particle":"","parse-names":false,"suffix":""},{"dropping-particle":"","family":"Haakenstad","given":"Annie","non-dropping-particle":"","parse-names":false,"suffix":""},{"dropping-particle":"","family":"Singh","given":"Lavanya","non-dropping-particle":"","parse-names":false,"suffix":""},{"dropping-particle":"","family":"Sadat","given":"Nafis","non-dropping-particle":"","parse-names":false,"suffix":""},{"dropping-particle":"","family":"Birger","given":"Maxwell","non-dropping-particle":"","parse-names":false,"suffix":""},{"dropping-particle":"","family":"Reynolds","given":"Alex","non-dropping-particle":"","parse-names":false,"suffix":""},{"dropping-particle":"","family":"Templin","given":"Tara","non-dropping-particle":"","parse-names":false,"suffix":""},{"dropping-particle":"","family":"Hamavid","given":"Hannah","non-dropping-particle":"","parse-names":false,"suffix":""},{"dropping-particle":"","family":"Chapin","given":"Abigail","non-dropping-particle":"","parse-names":false,"suffix":""},{"dropping-particle":"","family":"Murray","given":"Christopher J.L.","non-dropping-particle":"","parse-names":false,"suffix":""}],"container-title":"The Lancet","id":"ITEM-1","issued":{"date-parts":[["2016"]]},"title":"Development assistance for health: Past trends, associations, and the future of international financial flows for health","type":"article-journal"},"uris":["http://www.mendeley.com/documents/?uuid=f55b61ce-7c7d-4327-b6b8-bd5470d5ecdf"]}],"mendeley":{"formattedCitation":"&lt;sup&gt;10&lt;/sup&gt;","plainTextFormattedCitation":"10","previouslyFormattedCitation":"&lt;sup&gt;10&lt;/sup&gt;"},"properties":{"noteIndex":0},"schema":"https://github.com/citation-style-language/schema/raw/master/csl-citation.json"}</w:instrText>
      </w:r>
      <w:r w:rsidR="00D926F9" w:rsidRPr="002B4D57">
        <w:rPr>
          <w:rStyle w:val="Hyperlink"/>
          <w:rFonts w:cstheme="minorHAnsi"/>
          <w:color w:val="000000" w:themeColor="text1"/>
          <w:u w:val="none"/>
        </w:rPr>
        <w:fldChar w:fldCharType="separate"/>
      </w:r>
      <w:r w:rsidR="00D926F9" w:rsidRPr="002B4D57">
        <w:rPr>
          <w:rStyle w:val="Hyperlink"/>
          <w:rFonts w:cstheme="minorHAnsi"/>
          <w:noProof/>
          <w:color w:val="000000" w:themeColor="text1"/>
          <w:u w:val="none"/>
          <w:vertAlign w:val="superscript"/>
        </w:rPr>
        <w:t>10</w:t>
      </w:r>
      <w:r w:rsidR="00D926F9" w:rsidRPr="002B4D57">
        <w:rPr>
          <w:rStyle w:val="Hyperlink"/>
          <w:rFonts w:cstheme="minorHAnsi"/>
          <w:color w:val="000000" w:themeColor="text1"/>
          <w:u w:val="none"/>
        </w:rPr>
        <w:fldChar w:fldCharType="end"/>
      </w:r>
      <w:r w:rsidRPr="002B4D57">
        <w:rPr>
          <w:rStyle w:val="Hyperlink"/>
          <w:rFonts w:cstheme="minorHAnsi"/>
          <w:color w:val="000000" w:themeColor="text1"/>
          <w:u w:val="none"/>
        </w:rPr>
        <w:t xml:space="preserve"> find that while growth in development assistance for health (DAH) slowed during the global recession in the late 2000s, it did not decline. Over (2009) used CRS data and finds that while social sector aid is elastic with respect to donor GDP growth during economic upswings, health sector aid appears to be somewhat more resilient to downturns.  </w:t>
      </w:r>
    </w:p>
    <w:p w14:paraId="5AED2174" w14:textId="77777777" w:rsidR="00FA6650" w:rsidRPr="002B4D57" w:rsidRDefault="00FA6650" w:rsidP="00FA6650">
      <w:pPr>
        <w:ind w:left="360"/>
        <w:rPr>
          <w:rStyle w:val="Hyperlink"/>
          <w:rFonts w:cstheme="minorHAnsi"/>
          <w:color w:val="000000" w:themeColor="text1"/>
          <w:u w:val="none"/>
        </w:rPr>
      </w:pPr>
    </w:p>
    <w:p w14:paraId="5629571A" w14:textId="1FAB2298" w:rsidR="00FA6650" w:rsidRPr="002B4D57" w:rsidRDefault="00FA6650" w:rsidP="00FA6650">
      <w:pPr>
        <w:ind w:left="360"/>
        <w:jc w:val="both"/>
        <w:rPr>
          <w:rStyle w:val="Hyperlink"/>
          <w:rFonts w:cstheme="minorHAnsi"/>
          <w:color w:val="000000" w:themeColor="text1"/>
          <w:u w:val="none"/>
        </w:rPr>
      </w:pPr>
      <w:r w:rsidRPr="002B4D57">
        <w:rPr>
          <w:rStyle w:val="Hyperlink"/>
          <w:rFonts w:cstheme="minorHAnsi"/>
          <w:color w:val="000000" w:themeColor="text1"/>
          <w:u w:val="none"/>
        </w:rPr>
        <w:t xml:space="preserve">Following the adjusted model of within-country variation in </w:t>
      </w:r>
      <w:proofErr w:type="spellStart"/>
      <w:r w:rsidRPr="002B4D57">
        <w:rPr>
          <w:rStyle w:val="Hyperlink"/>
          <w:rFonts w:cstheme="minorHAnsi"/>
          <w:color w:val="000000" w:themeColor="text1"/>
          <w:u w:val="none"/>
        </w:rPr>
        <w:t>Stuckler</w:t>
      </w:r>
      <w:proofErr w:type="spellEnd"/>
      <w:r w:rsidRPr="002B4D57">
        <w:rPr>
          <w:rStyle w:val="Hyperlink"/>
          <w:rFonts w:cstheme="minorHAnsi"/>
          <w:color w:val="000000" w:themeColor="text1"/>
          <w:u w:val="none"/>
        </w:rPr>
        <w:t xml:space="preserve"> et al.</w:t>
      </w:r>
      <w:r w:rsidR="00D926F9" w:rsidRPr="002B4D57">
        <w:rPr>
          <w:rStyle w:val="Hyperlink"/>
          <w:rFonts w:cstheme="minorHAnsi"/>
          <w:color w:val="000000" w:themeColor="text1"/>
          <w:u w:val="none"/>
        </w:rPr>
        <w:fldChar w:fldCharType="begin" w:fldLock="1"/>
      </w:r>
      <w:r w:rsidR="00D926F9" w:rsidRPr="002B4D57">
        <w:rPr>
          <w:rStyle w:val="Hyperlink"/>
          <w:rFonts w:cstheme="minorHAnsi"/>
          <w:color w:val="000000" w:themeColor="text1"/>
          <w:u w:val="none"/>
        </w:rPr>
        <w:instrText>ADDIN CSL_CITATION {"citationItems":[{"id":"ITEM-1","itemData":{"DOI":"10.2471/blt.10.080663","ISSN":"0042-9686","abstract":"Objective To test the hypothesis that economic recessions lead to reduced global development assistance for health (DAH). Methods Data obtained from the Creditor Reporting System of the Organisation for Economic Co-operation and Development (OECD) for 15 OECD countries were used to model the percentage change (relative difference) in commitments and disbursements for DAH as a function of three measures of economic recession: recessionary year (as a dummy variable with 0 for no recession and 1 for recession), percentage change in per capita gross domestic product and percentage point change in unemployment rate for recessionary cycles from 1975 through 2007. We looked for an association both during the concurrent recessionary year and one and two years later. Findings No statistically significant association was found in the short or long run between measures of economic recession and the amount of official DAH committed or disbursed. Conclusion Any important decrease in overall DAH following the current economic recession would have little historical precedent and claims of inevitability would be unjustifiable.","author":[{"dropping-particle":"","family":"Stuckler","given":"David","non-dropping-particle":"","parse-names":false,"suffix":""},{"dropping-particle":"","family":"Basu","given":"Sanjay","non-dropping-particle":"","parse-names":false,"suffix":""},{"dropping-particle":"","family":"Wang","given":"Stephanie W","non-dropping-particle":"","parse-names":false,"suffix":""},{"dropping-particle":"","family":"McKee","given":"Martin","non-dropping-particle":"","parse-names":false,"suffix":""}],"container-title":"Bulletin of the World Health Organization","id":"ITEM-1","issued":{"date-parts":[["2011"]]},"title":"Does recession reduce global health aid? Evidence from 15 high-income countries, 1975–2007","type":"article-journal"},"uris":["http://www.mendeley.com/documents/?uuid=1b0e62a4-1151-4ba4-8c14-4bf0dd0191b4"]}],"mendeley":{"formattedCitation":"&lt;sup&gt;8&lt;/sup&gt;","plainTextFormattedCitation":"8","previouslyFormattedCitation":"&lt;sup&gt;8&lt;/sup&gt;"},"properties":{"noteIndex":0},"schema":"https://github.com/citation-style-language/schema/raw/master/csl-citation.json"}</w:instrText>
      </w:r>
      <w:r w:rsidR="00D926F9" w:rsidRPr="002B4D57">
        <w:rPr>
          <w:rStyle w:val="Hyperlink"/>
          <w:rFonts w:cstheme="minorHAnsi"/>
          <w:color w:val="000000" w:themeColor="text1"/>
          <w:u w:val="none"/>
        </w:rPr>
        <w:fldChar w:fldCharType="separate"/>
      </w:r>
      <w:r w:rsidR="00D926F9" w:rsidRPr="002B4D57">
        <w:rPr>
          <w:rStyle w:val="Hyperlink"/>
          <w:rFonts w:cstheme="minorHAnsi"/>
          <w:noProof/>
          <w:color w:val="000000" w:themeColor="text1"/>
          <w:u w:val="none"/>
          <w:vertAlign w:val="superscript"/>
        </w:rPr>
        <w:t>8</w:t>
      </w:r>
      <w:r w:rsidR="00D926F9" w:rsidRPr="002B4D57">
        <w:rPr>
          <w:rStyle w:val="Hyperlink"/>
          <w:rFonts w:cstheme="minorHAnsi"/>
          <w:color w:val="000000" w:themeColor="text1"/>
          <w:u w:val="none"/>
        </w:rPr>
        <w:fldChar w:fldCharType="end"/>
      </w:r>
      <w:r w:rsidRPr="002B4D57">
        <w:rPr>
          <w:rStyle w:val="Hyperlink"/>
          <w:rFonts w:cstheme="minorHAnsi"/>
          <w:color w:val="000000" w:themeColor="text1"/>
          <w:u w:val="none"/>
        </w:rPr>
        <w:t>, we re-visit the relationship between donor economic growth and aid using disbursement data from 2002 to 2018. Based on their approach, we regress growth in ODA to nutrition-sensitive sectors</w:t>
      </w:r>
      <w:r w:rsidRPr="002B4D57">
        <w:rPr>
          <w:rStyle w:val="FootnoteReference"/>
          <w:rFonts w:cstheme="minorHAnsi"/>
          <w:color w:val="000000" w:themeColor="text1"/>
        </w:rPr>
        <w:footnoteReference w:id="1"/>
      </w:r>
      <w:r w:rsidRPr="002B4D57">
        <w:rPr>
          <w:rStyle w:val="Hyperlink"/>
          <w:rFonts w:cstheme="minorHAnsi"/>
          <w:color w:val="000000" w:themeColor="text1"/>
          <w:u w:val="none"/>
        </w:rPr>
        <w:t xml:space="preserve"> according to CRS on growth in real GDP (lagged up to two years), with country-specific time trends and country fixed effects, and standard errors clustered at the country level. We exclude country-years in which the ODA measure more than doubled or halved, but the results are robust to their inclusion, as well as to weighting the regression by donor share of total ODA.</w:t>
      </w:r>
    </w:p>
    <w:p w14:paraId="0AFF52DF" w14:textId="77777777" w:rsidR="00FA6650" w:rsidRPr="002B4D57" w:rsidRDefault="00FA6650" w:rsidP="00FA6650">
      <w:pPr>
        <w:ind w:left="360"/>
        <w:jc w:val="both"/>
        <w:rPr>
          <w:rStyle w:val="Hyperlink"/>
          <w:rFonts w:cstheme="minorHAnsi"/>
          <w:color w:val="000000" w:themeColor="text1"/>
          <w:u w:val="none"/>
        </w:rPr>
      </w:pPr>
      <w:r w:rsidRPr="002B4D57">
        <w:rPr>
          <w:rStyle w:val="Hyperlink"/>
          <w:rFonts w:cstheme="minorHAnsi"/>
          <w:color w:val="000000" w:themeColor="text1"/>
          <w:u w:val="none"/>
        </w:rPr>
        <w:t xml:space="preserve">We find that ODA to nutrition-sensitive sectors does move pro-cyclically on average in donor countries (with an elasticity of around 1.6), largely with a two-year lag. As of July 2020, MIRAGRODEP’s moderate scenario projects average GDP growth at -7.7% for CRS donor countries </w:t>
      </w:r>
      <w:r w:rsidRPr="002B4D57">
        <w:rPr>
          <w:rStyle w:val="Hyperlink"/>
          <w:rFonts w:cstheme="minorHAnsi"/>
          <w:color w:val="000000" w:themeColor="text1"/>
          <w:u w:val="none"/>
        </w:rPr>
        <w:lastRenderedPageBreak/>
        <w:t>in 2020, -5.7% in 2021, and -1.8% in 2022. We assume that GDP growth in donor countries reverts to the average over the four pre-COVID years (2016-2019) after 2022. Our dynamic estimates imply that ODA to nutrition-sensitive sectors will decline modestly in 2020 and 2021 before the lagged effect of recession manifests in 2022 with a decline of 8.9%</w:t>
      </w:r>
      <w:r w:rsidRPr="002B4D57">
        <w:rPr>
          <w:rStyle w:val="FootnoteReference"/>
          <w:rFonts w:cstheme="minorHAnsi"/>
          <w:color w:val="000000" w:themeColor="text1"/>
        </w:rPr>
        <w:footnoteReference w:id="2"/>
      </w:r>
      <w:r w:rsidRPr="002B4D57">
        <w:rPr>
          <w:rStyle w:val="Hyperlink"/>
          <w:rFonts w:cstheme="minorHAnsi"/>
          <w:color w:val="000000" w:themeColor="text1"/>
          <w:u w:val="none"/>
        </w:rPr>
        <w:t xml:space="preserve">. </w:t>
      </w:r>
    </w:p>
    <w:p w14:paraId="001AE100" w14:textId="357482A1" w:rsidR="00FA6650" w:rsidRDefault="00FA6650" w:rsidP="00FA6650">
      <w:pPr>
        <w:ind w:left="360"/>
        <w:jc w:val="both"/>
        <w:rPr>
          <w:rStyle w:val="Hyperlink"/>
          <w:rFonts w:cstheme="minorHAnsi"/>
          <w:color w:val="000000" w:themeColor="text1"/>
          <w:u w:val="none"/>
        </w:rPr>
      </w:pPr>
      <w:r w:rsidRPr="002B4D57">
        <w:rPr>
          <w:rStyle w:val="Hyperlink"/>
          <w:rFonts w:cstheme="minorHAnsi"/>
          <w:color w:val="000000" w:themeColor="text1"/>
          <w:u w:val="none"/>
        </w:rPr>
        <w:t xml:space="preserve">Figure </w:t>
      </w:r>
      <w:r w:rsidR="00753DCE">
        <w:rPr>
          <w:rStyle w:val="Hyperlink"/>
          <w:rFonts w:cstheme="minorHAnsi"/>
          <w:color w:val="000000" w:themeColor="text1"/>
          <w:u w:val="none"/>
        </w:rPr>
        <w:t>2</w:t>
      </w:r>
      <w:r w:rsidRPr="002B4D57">
        <w:rPr>
          <w:rStyle w:val="Hyperlink"/>
          <w:rFonts w:cstheme="minorHAnsi"/>
          <w:color w:val="000000" w:themeColor="text1"/>
          <w:u w:val="none"/>
        </w:rPr>
        <w:t xml:space="preserve"> shows projected aid to nutrition-sensitive sectors under three MIRAGRODEP growth scenarios, using estimated 2019 ODA as the baseline for 2020-2030 projections. It suggests a total shortfall in ODA to nutrition-sensitive sectors of 14% over the </w:t>
      </w:r>
      <w:proofErr w:type="gramStart"/>
      <w:r w:rsidRPr="002B4D57">
        <w:rPr>
          <w:rStyle w:val="Hyperlink"/>
          <w:rFonts w:cstheme="minorHAnsi"/>
          <w:color w:val="000000" w:themeColor="text1"/>
          <w:u w:val="none"/>
        </w:rPr>
        <w:t>five year</w:t>
      </w:r>
      <w:proofErr w:type="gramEnd"/>
      <w:r w:rsidRPr="002B4D57">
        <w:rPr>
          <w:rStyle w:val="Hyperlink"/>
          <w:rFonts w:cstheme="minorHAnsi"/>
          <w:color w:val="000000" w:themeColor="text1"/>
          <w:u w:val="none"/>
        </w:rPr>
        <w:t xml:space="preserve"> period in the moderate scenario (19% in the pessimistic scenario and 9% in the optimistic one), relative to a scenario of pre-crisis growth trends. In the moderate scenario, ODA to nutrition-sensitive sectors does not recover to pre-crisis levels until the end of the decade. Even in the optimistic scenario, ODA to nutrition-sensitive sectors only recovers in 2025.</w:t>
      </w:r>
      <w:r w:rsidRPr="00FA6650">
        <w:rPr>
          <w:rStyle w:val="Hyperlink"/>
          <w:rFonts w:cstheme="minorHAnsi"/>
          <w:color w:val="000000" w:themeColor="text1"/>
          <w:u w:val="none"/>
        </w:rPr>
        <w:t xml:space="preserve"> </w:t>
      </w:r>
    </w:p>
    <w:p w14:paraId="11117544" w14:textId="77777777" w:rsidR="00FA6650" w:rsidRPr="00FA6650" w:rsidRDefault="00FA6650" w:rsidP="00FA6650">
      <w:pPr>
        <w:ind w:left="360"/>
        <w:jc w:val="both"/>
        <w:rPr>
          <w:rStyle w:val="Hyperlink"/>
          <w:rFonts w:cstheme="minorHAnsi"/>
          <w:color w:val="000000" w:themeColor="text1"/>
          <w:u w:val="none"/>
        </w:rPr>
      </w:pPr>
    </w:p>
    <w:p w14:paraId="7F2E68C5" w14:textId="77777777" w:rsidR="00FA6650" w:rsidRDefault="00FA6650" w:rsidP="00FA6650">
      <w:pPr>
        <w:ind w:left="360"/>
        <w:rPr>
          <w:rStyle w:val="Hyperlink"/>
          <w:rFonts w:cstheme="minorHAnsi"/>
          <w:color w:val="000000" w:themeColor="text1"/>
        </w:rPr>
      </w:pPr>
    </w:p>
    <w:p w14:paraId="327651AB" w14:textId="12EDF35B" w:rsidR="00FA6650" w:rsidRPr="00D219AB" w:rsidRDefault="00FA6650" w:rsidP="00FA6650">
      <w:pPr>
        <w:ind w:left="360"/>
        <w:rPr>
          <w:rFonts w:cstheme="minorHAnsi"/>
          <w:b/>
          <w:bCs/>
          <w:noProof/>
        </w:rPr>
      </w:pPr>
      <w:r w:rsidRPr="00D219AB">
        <w:rPr>
          <w:rStyle w:val="Hyperlink"/>
          <w:rFonts w:cstheme="minorHAnsi"/>
          <w:b/>
          <w:bCs/>
          <w:color w:val="000000" w:themeColor="text1"/>
          <w:u w:val="none"/>
        </w:rPr>
        <w:t xml:space="preserve">Figure </w:t>
      </w:r>
      <w:r w:rsidR="00753DCE" w:rsidRPr="00D219AB">
        <w:rPr>
          <w:rStyle w:val="Hyperlink"/>
          <w:rFonts w:cstheme="minorHAnsi"/>
          <w:b/>
          <w:bCs/>
          <w:color w:val="000000" w:themeColor="text1"/>
          <w:u w:val="none"/>
        </w:rPr>
        <w:t>2</w:t>
      </w:r>
      <w:r w:rsidRPr="00D219AB">
        <w:rPr>
          <w:rStyle w:val="Hyperlink"/>
          <w:rFonts w:cstheme="minorHAnsi"/>
          <w:b/>
          <w:bCs/>
          <w:color w:val="000000" w:themeColor="text1"/>
          <w:u w:val="none"/>
        </w:rPr>
        <w:t>: Projected ODA to nutrition-sensitive sectors</w:t>
      </w:r>
      <w:r w:rsidRPr="00D219AB">
        <w:rPr>
          <w:rFonts w:cstheme="minorHAnsi"/>
          <w:b/>
          <w:bCs/>
          <w:noProof/>
        </w:rPr>
        <w:t xml:space="preserve"> </w:t>
      </w:r>
    </w:p>
    <w:p w14:paraId="0027C998" w14:textId="77777777" w:rsidR="00FA6650" w:rsidRPr="008F340F" w:rsidRDefault="00FA6650" w:rsidP="00FA6650">
      <w:pPr>
        <w:ind w:left="360"/>
        <w:jc w:val="right"/>
        <w:rPr>
          <w:rStyle w:val="Hyperlink"/>
          <w:rFonts w:cstheme="minorHAnsi"/>
          <w:color w:val="000000" w:themeColor="text1"/>
        </w:rPr>
      </w:pPr>
      <w:r w:rsidRPr="008F340F">
        <w:rPr>
          <w:rFonts w:cstheme="minorHAnsi"/>
          <w:noProof/>
        </w:rPr>
        <mc:AlternateContent>
          <mc:Choice Requires="wps">
            <w:drawing>
              <wp:anchor distT="0" distB="0" distL="114300" distR="114300" simplePos="0" relativeHeight="251659264" behindDoc="0" locked="0" layoutInCell="1" allowOverlap="1" wp14:anchorId="6B5D71AE" wp14:editId="7ADF2235">
                <wp:simplePos x="0" y="0"/>
                <wp:positionH relativeFrom="column">
                  <wp:posOffset>-503027</wp:posOffset>
                </wp:positionH>
                <wp:positionV relativeFrom="paragraph">
                  <wp:posOffset>169592</wp:posOffset>
                </wp:positionV>
                <wp:extent cx="503555" cy="2784024"/>
                <wp:effectExtent l="0" t="0" r="4445" b="0"/>
                <wp:wrapNone/>
                <wp:docPr id="3" name="Text Box 3"/>
                <wp:cNvGraphicFramePr/>
                <a:graphic xmlns:a="http://schemas.openxmlformats.org/drawingml/2006/main">
                  <a:graphicData uri="http://schemas.microsoft.com/office/word/2010/wordprocessingShape">
                    <wps:wsp>
                      <wps:cNvSpPr txBox="1"/>
                      <wps:spPr>
                        <a:xfrm flipV="1">
                          <a:off x="0" y="0"/>
                          <a:ext cx="503555" cy="2784024"/>
                        </a:xfrm>
                        <a:prstGeom prst="rect">
                          <a:avLst/>
                        </a:prstGeom>
                        <a:solidFill>
                          <a:schemeClr val="lt1"/>
                        </a:solidFill>
                        <a:ln w="6350">
                          <a:noFill/>
                        </a:ln>
                      </wps:spPr>
                      <wps:txbx>
                        <w:txbxContent>
                          <w:p w14:paraId="70C7BF8C" w14:textId="77777777" w:rsidR="00FA6650" w:rsidRDefault="00FA6650" w:rsidP="00FA6650">
                            <w:pPr>
                              <w:jc w:val="center"/>
                              <w:rPr>
                                <w:rFonts w:ascii="Times New Roman" w:hAnsi="Times New Roman" w:cs="Times New Roman"/>
                                <w:sz w:val="20"/>
                                <w:szCs w:val="20"/>
                              </w:rPr>
                            </w:pPr>
                            <w:r w:rsidRPr="00CE22A8">
                              <w:rPr>
                                <w:rFonts w:ascii="Times New Roman" w:hAnsi="Times New Roman" w:cs="Times New Roman"/>
                                <w:sz w:val="20"/>
                                <w:szCs w:val="20"/>
                              </w:rPr>
                              <w:t xml:space="preserve">ODA </w:t>
                            </w:r>
                            <w:r>
                              <w:rPr>
                                <w:rFonts w:ascii="Times New Roman" w:hAnsi="Times New Roman" w:cs="Times New Roman"/>
                                <w:sz w:val="20"/>
                                <w:szCs w:val="20"/>
                              </w:rPr>
                              <w:t>to nutrition-sensitive sectors</w:t>
                            </w:r>
                            <w:r w:rsidRPr="00CE22A8">
                              <w:rPr>
                                <w:rFonts w:ascii="Times New Roman" w:hAnsi="Times New Roman" w:cs="Times New Roman"/>
                                <w:sz w:val="20"/>
                                <w:szCs w:val="20"/>
                              </w:rPr>
                              <w:t xml:space="preserve"> </w:t>
                            </w:r>
                          </w:p>
                          <w:p w14:paraId="3A0C5A51" w14:textId="77777777" w:rsidR="00FA6650" w:rsidRPr="00CE22A8" w:rsidRDefault="00FA6650" w:rsidP="00FA6650">
                            <w:pPr>
                              <w:jc w:val="center"/>
                              <w:rPr>
                                <w:rFonts w:ascii="Times New Roman" w:hAnsi="Times New Roman" w:cs="Times New Roman"/>
                                <w:sz w:val="20"/>
                                <w:szCs w:val="20"/>
                              </w:rPr>
                            </w:pPr>
                            <w:r w:rsidRPr="00CE22A8">
                              <w:rPr>
                                <w:rFonts w:ascii="Times New Roman" w:hAnsi="Times New Roman" w:cs="Times New Roman"/>
                                <w:sz w:val="20"/>
                                <w:szCs w:val="20"/>
                              </w:rPr>
                              <w:t>(</w:t>
                            </w:r>
                            <w:r>
                              <w:rPr>
                                <w:rFonts w:ascii="Times New Roman" w:hAnsi="Times New Roman" w:cs="Times New Roman"/>
                                <w:sz w:val="20"/>
                                <w:szCs w:val="20"/>
                              </w:rPr>
                              <w:t xml:space="preserve">2018 </w:t>
                            </w:r>
                            <w:r w:rsidRPr="00CE22A8">
                              <w:rPr>
                                <w:rFonts w:ascii="Times New Roman" w:hAnsi="Times New Roman" w:cs="Times New Roman"/>
                                <w:sz w:val="20"/>
                                <w:szCs w:val="20"/>
                              </w:rPr>
                              <w:t>US$ millions)</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5D71AE" id="_x0000_t202" coordsize="21600,21600" o:spt="202" path="m,l,21600r21600,l21600,xe">
                <v:stroke joinstyle="miter"/>
                <v:path gradientshapeok="t" o:connecttype="rect"/>
              </v:shapetype>
              <v:shape id="Text Box 3" o:spid="_x0000_s1026" type="#_x0000_t202" style="position:absolute;left:0;text-align:left;margin-left:-39.6pt;margin-top:13.35pt;width:39.65pt;height:219.2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" fillcolor="white [3201]" stroked="f" strokeweight=".5pt">
                <v:textbox style="layout-flow:vertical-ideographic">
                  <w:txbxContent>
                    <w:p w14:paraId="70C7BF8C" w14:textId="77777777" w:rsidR="00FA6650" w:rsidRDefault="00FA6650" w:rsidP="00FA6650">
                      <w:pPr>
                        <w:jc w:val="center"/>
                        <w:rPr>
                          <w:rFonts w:ascii="Times New Roman" w:hAnsi="Times New Roman" w:cs="Times New Roman"/>
                          <w:sz w:val="20"/>
                          <w:szCs w:val="20"/>
                        </w:rPr>
                      </w:pPr>
                      <w:r w:rsidRPr="00CE22A8">
                        <w:rPr>
                          <w:rFonts w:ascii="Times New Roman" w:hAnsi="Times New Roman" w:cs="Times New Roman"/>
                          <w:sz w:val="20"/>
                          <w:szCs w:val="20"/>
                        </w:rPr>
                        <w:t xml:space="preserve">ODA </w:t>
                      </w:r>
                      <w:r>
                        <w:rPr>
                          <w:rFonts w:ascii="Times New Roman" w:hAnsi="Times New Roman" w:cs="Times New Roman"/>
                          <w:sz w:val="20"/>
                          <w:szCs w:val="20"/>
                        </w:rPr>
                        <w:t>to nutrition-sensitive sectors</w:t>
                      </w:r>
                      <w:r w:rsidRPr="00CE22A8">
                        <w:rPr>
                          <w:rFonts w:ascii="Times New Roman" w:hAnsi="Times New Roman" w:cs="Times New Roman"/>
                          <w:sz w:val="20"/>
                          <w:szCs w:val="20"/>
                        </w:rPr>
                        <w:t xml:space="preserve"> </w:t>
                      </w:r>
                    </w:p>
                    <w:p w14:paraId="3A0C5A51" w14:textId="77777777" w:rsidR="00FA6650" w:rsidRPr="00CE22A8" w:rsidRDefault="00FA6650" w:rsidP="00FA6650">
                      <w:pPr>
                        <w:jc w:val="center"/>
                        <w:rPr>
                          <w:rFonts w:ascii="Times New Roman" w:hAnsi="Times New Roman" w:cs="Times New Roman"/>
                          <w:sz w:val="20"/>
                          <w:szCs w:val="20"/>
                        </w:rPr>
                      </w:pPr>
                      <w:r w:rsidRPr="00CE22A8">
                        <w:rPr>
                          <w:rFonts w:ascii="Times New Roman" w:hAnsi="Times New Roman" w:cs="Times New Roman"/>
                          <w:sz w:val="20"/>
                          <w:szCs w:val="20"/>
                        </w:rPr>
                        <w:t>(</w:t>
                      </w:r>
                      <w:r>
                        <w:rPr>
                          <w:rFonts w:ascii="Times New Roman" w:hAnsi="Times New Roman" w:cs="Times New Roman"/>
                          <w:sz w:val="20"/>
                          <w:szCs w:val="20"/>
                        </w:rPr>
                        <w:t xml:space="preserve">2018 </w:t>
                      </w:r>
                      <w:r w:rsidRPr="00CE22A8">
                        <w:rPr>
                          <w:rFonts w:ascii="Times New Roman" w:hAnsi="Times New Roman" w:cs="Times New Roman"/>
                          <w:sz w:val="20"/>
                          <w:szCs w:val="20"/>
                        </w:rPr>
                        <w:t>US$ millions)</w:t>
                      </w:r>
                    </w:p>
                  </w:txbxContent>
                </v:textbox>
              </v:shape>
            </w:pict>
          </mc:Fallback>
        </mc:AlternateContent>
      </w:r>
      <w:r w:rsidRPr="008F340F">
        <w:rPr>
          <w:rFonts w:cstheme="minorHAnsi"/>
          <w:noProof/>
        </w:rPr>
        <w:t xml:space="preserve">        </w:t>
      </w:r>
      <w:r w:rsidRPr="008F340F">
        <w:rPr>
          <w:rFonts w:cstheme="minorHAnsi"/>
          <w:noProof/>
        </w:rPr>
        <w:drawing>
          <wp:inline distT="0" distB="0" distL="0" distR="0" wp14:anchorId="5D305126" wp14:editId="21A60F6D">
            <wp:extent cx="5943600" cy="2762250"/>
            <wp:effectExtent l="0" t="0" r="12700" b="6350"/>
            <wp:docPr id="4" name="Chart 4">
              <a:extLst xmlns:a="http://schemas.openxmlformats.org/drawingml/2006/main">
                <a:ext uri="{FF2B5EF4-FFF2-40B4-BE49-F238E27FC236}">
                  <a16:creationId xmlns:a16="http://schemas.microsoft.com/office/drawing/2014/main" id="{EC6DE5D8-A6A1-6547-AE0E-D32D7F91718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16D6FBD" w14:textId="77777777" w:rsidR="00FA6650" w:rsidRPr="008F340F" w:rsidRDefault="00FA6650" w:rsidP="00FA6650">
      <w:pPr>
        <w:ind w:left="360"/>
        <w:rPr>
          <w:rFonts w:eastAsia="Times New Roman" w:cstheme="minorHAnsi"/>
          <w:i/>
          <w:iCs/>
        </w:rPr>
      </w:pPr>
      <w:r w:rsidRPr="008F340F">
        <w:rPr>
          <w:rStyle w:val="Hyperlink"/>
          <w:rFonts w:cstheme="minorHAnsi"/>
          <w:i/>
          <w:iCs/>
          <w:color w:val="000000" w:themeColor="text1"/>
        </w:rPr>
        <w:t>*</w:t>
      </w:r>
      <w:r w:rsidRPr="008F340F">
        <w:rPr>
          <w:rFonts w:cstheme="minorHAnsi"/>
          <w:i/>
          <w:iCs/>
          <w:color w:val="000000"/>
        </w:rPr>
        <w:t xml:space="preserve"> 2019 estimate assumes </w:t>
      </w:r>
      <w:r w:rsidRPr="008F340F">
        <w:rPr>
          <w:rFonts w:eastAsia="Times New Roman" w:cstheme="minorHAnsi"/>
          <w:i/>
          <w:iCs/>
          <w:color w:val="000000"/>
        </w:rPr>
        <w:t xml:space="preserve">ODA to nutrition-sensitive sectors grew at the same rate as total ODA from 2018 to 2019.  </w:t>
      </w:r>
    </w:p>
    <w:p w14:paraId="2E645CE3" w14:textId="77777777" w:rsidR="00FA6650" w:rsidRPr="008F340F" w:rsidRDefault="00FA6650" w:rsidP="00FA6650">
      <w:pPr>
        <w:ind w:left="360"/>
        <w:jc w:val="both"/>
        <w:rPr>
          <w:rStyle w:val="Hyperlink"/>
          <w:rFonts w:cstheme="minorHAnsi"/>
          <w:color w:val="000000" w:themeColor="text1"/>
        </w:rPr>
      </w:pPr>
    </w:p>
    <w:p w14:paraId="5B4C2D49" w14:textId="77777777" w:rsidR="00FA6650" w:rsidRPr="00D926F9" w:rsidRDefault="00FA6650" w:rsidP="00FA6650">
      <w:pPr>
        <w:ind w:left="360"/>
        <w:jc w:val="both"/>
        <w:rPr>
          <w:rStyle w:val="Hyperlink"/>
          <w:rFonts w:cstheme="minorHAnsi"/>
          <w:color w:val="000000" w:themeColor="text1"/>
          <w:u w:val="none"/>
        </w:rPr>
      </w:pPr>
      <w:r w:rsidRPr="00D926F9">
        <w:rPr>
          <w:rStyle w:val="Hyperlink"/>
          <w:rFonts w:cstheme="minorHAnsi"/>
          <w:color w:val="000000" w:themeColor="text1"/>
          <w:u w:val="none"/>
        </w:rPr>
        <w:t xml:space="preserve">A separate analysis of CRS data shows that the humanitarian assistance subcategory of aid is elastic to GDP growth in donor countries, and thus may not be counted on to dampen the decline. Nor can private donors, which in 2018 made contributions equivalent to less than 4% of total ODA and 8% of ODA to nutrition-sensitive sectors. While adding debt-to-GDP ratio as an explanatory variable does not change these projections significantly (debt ratio and GDP growth are strongly correlated in the study years), the model may underestimate the impact of the crisis on nutrition </w:t>
      </w:r>
      <w:r w:rsidRPr="00D926F9">
        <w:rPr>
          <w:rStyle w:val="Hyperlink"/>
          <w:rFonts w:cstheme="minorHAnsi"/>
          <w:color w:val="000000" w:themeColor="text1"/>
          <w:u w:val="none"/>
        </w:rPr>
        <w:lastRenderedPageBreak/>
        <w:t xml:space="preserve">financing, because debt levels in the aftermath of the global crisis are expected to reach levels not observed over the past two decades. </w:t>
      </w:r>
    </w:p>
    <w:p w14:paraId="14723E1C" w14:textId="77777777" w:rsidR="00FA6650" w:rsidRPr="008F340F" w:rsidRDefault="00FA6650" w:rsidP="00FA6650">
      <w:pPr>
        <w:ind w:left="360"/>
        <w:jc w:val="both"/>
        <w:rPr>
          <w:rStyle w:val="Hyperlink"/>
          <w:rFonts w:cstheme="minorHAnsi"/>
          <w:color w:val="000000" w:themeColor="text1"/>
        </w:rPr>
      </w:pPr>
    </w:p>
    <w:p w14:paraId="7DC583EC" w14:textId="77777777" w:rsidR="00FA6650" w:rsidRPr="008F340F" w:rsidRDefault="00FA6650" w:rsidP="00FA6650">
      <w:pPr>
        <w:ind w:left="360"/>
        <w:jc w:val="both"/>
        <w:rPr>
          <w:rFonts w:eastAsia="Times New Roman" w:cstheme="minorHAnsi"/>
        </w:rPr>
      </w:pPr>
      <w:r w:rsidRPr="008F340F">
        <w:rPr>
          <w:rFonts w:eastAsia="Times New Roman" w:cstheme="minorHAnsi"/>
          <w:b/>
          <w:bCs/>
        </w:rPr>
        <w:t>ODA variations during health crises:</w:t>
      </w:r>
      <w:r w:rsidRPr="008F340F">
        <w:rPr>
          <w:rFonts w:eastAsia="Times New Roman" w:cstheme="minorHAnsi"/>
        </w:rPr>
        <w:t xml:space="preserve"> While donor financing for health significantly increased among Ebola-afflicted countries (Guinea, Sierra Leone, and Liberia) in 2015</w:t>
      </w:r>
      <w:r w:rsidRPr="008F340F">
        <w:rPr>
          <w:rStyle w:val="FootnoteReference"/>
          <w:rFonts w:cstheme="minorHAnsi"/>
          <w:color w:val="000000" w:themeColor="text1"/>
        </w:rPr>
        <w:footnoteReference w:id="3"/>
      </w:r>
      <w:r w:rsidRPr="008F340F">
        <w:rPr>
          <w:rFonts w:eastAsia="Times New Roman" w:cstheme="minorHAnsi"/>
        </w:rPr>
        <w:t>, it is unclear this is an informative precedent for what we might expect for COVID-19. The current crisis is similarly increasing demand for donor support, but this pandemic is global in scale and many donor countries are also experiencing economic downturns and their own health crises, which was not the case during the Ebola crisis. More importantly, based on the Ebola precedent, nutrition funding may be at risk of decline as donors and countries prioritize COVID-19 response efforts in the short-run. During the Ebola epidemic in Guinea, Sierra Leone, and Liberia, donor aid under basic nutrition</w:t>
      </w:r>
      <w:r w:rsidRPr="008F340F">
        <w:rPr>
          <w:rStyle w:val="FootnoteReference"/>
          <w:rFonts w:eastAsia="Times New Roman" w:cstheme="minorHAnsi"/>
        </w:rPr>
        <w:footnoteReference w:id="4"/>
      </w:r>
      <w:r w:rsidRPr="008F340F">
        <w:rPr>
          <w:rFonts w:eastAsia="Times New Roman" w:cstheme="minorHAnsi"/>
        </w:rPr>
        <w:t xml:space="preserve"> declined from US$19 million in 2014 to US$7 million in 2016, while emergency aid and infectious disease control projects significantly ramped up in 2015. </w:t>
      </w:r>
    </w:p>
    <w:p w14:paraId="1D62E714" w14:textId="77777777" w:rsidR="00FA6650" w:rsidRPr="00D926F9" w:rsidRDefault="00FA6650" w:rsidP="00FA6650">
      <w:pPr>
        <w:jc w:val="both"/>
        <w:rPr>
          <w:rStyle w:val="Hyperlink"/>
          <w:rFonts w:cstheme="minorHAnsi"/>
          <w:color w:val="000000" w:themeColor="text1"/>
          <w:u w:val="none"/>
        </w:rPr>
      </w:pPr>
    </w:p>
    <w:p w14:paraId="7647A4EE" w14:textId="77777777" w:rsidR="00FA6650" w:rsidRPr="00D926F9" w:rsidRDefault="00FA6650" w:rsidP="00FA6650">
      <w:pPr>
        <w:ind w:left="360"/>
        <w:jc w:val="both"/>
        <w:rPr>
          <w:rStyle w:val="Hyperlink"/>
          <w:rFonts w:cstheme="minorHAnsi"/>
          <w:color w:val="000000" w:themeColor="text1"/>
          <w:u w:val="none"/>
        </w:rPr>
      </w:pPr>
      <w:r w:rsidRPr="00D926F9">
        <w:rPr>
          <w:rStyle w:val="Hyperlink"/>
          <w:rFonts w:cstheme="minorHAnsi"/>
          <w:b/>
          <w:bCs/>
          <w:color w:val="000000" w:themeColor="text1"/>
          <w:u w:val="none"/>
        </w:rPr>
        <w:t>Domestic Financing</w:t>
      </w:r>
      <w:r w:rsidRPr="00D926F9">
        <w:rPr>
          <w:rStyle w:val="Hyperlink"/>
          <w:rFonts w:cstheme="minorHAnsi"/>
          <w:color w:val="000000" w:themeColor="text1"/>
          <w:u w:val="none"/>
        </w:rPr>
        <w:t>: It is also likely that economic downturns in aid recipient countries will affect domestic financing for nutrition. Since the WHO only started tracking domestic spending on nutritional deficiencies in 2016</w:t>
      </w:r>
      <w:r w:rsidRPr="00D926F9">
        <w:rPr>
          <w:rStyle w:val="FootnoteReference"/>
          <w:rFonts w:cstheme="minorHAnsi"/>
          <w:color w:val="000000" w:themeColor="text1"/>
        </w:rPr>
        <w:footnoteReference w:id="5"/>
      </w:r>
      <w:r w:rsidRPr="00D926F9">
        <w:rPr>
          <w:rStyle w:val="Hyperlink"/>
          <w:rFonts w:cstheme="minorHAnsi"/>
          <w:color w:val="000000" w:themeColor="text1"/>
          <w:u w:val="none"/>
        </w:rPr>
        <w:t xml:space="preserve">, </w:t>
      </w:r>
      <w:r w:rsidRPr="00D926F9">
        <w:rPr>
          <w:rFonts w:cstheme="minorHAnsi"/>
          <w:color w:val="000000" w:themeColor="text1"/>
        </w:rPr>
        <w:t>and in the absence of consistent data on country expenditures on agriculture, social protection and education,</w:t>
      </w:r>
      <w:r w:rsidRPr="00D926F9">
        <w:rPr>
          <w:rStyle w:val="Hyperlink"/>
          <w:rFonts w:cstheme="minorHAnsi"/>
          <w:color w:val="000000" w:themeColor="text1"/>
          <w:u w:val="none"/>
        </w:rPr>
        <w:t xml:space="preserve"> we look to per capita general government health expenditure for analysis. We conduct an analogous panel regression using National Health Accounts data collected by WHO’s Global Health Observatory. We use 2000-2017 data from 112 out of the 118 countries </w:t>
      </w:r>
      <w:proofErr w:type="spellStart"/>
      <w:r w:rsidRPr="00D926F9">
        <w:rPr>
          <w:rStyle w:val="Hyperlink"/>
          <w:rFonts w:cstheme="minorHAnsi"/>
          <w:color w:val="000000" w:themeColor="text1"/>
          <w:u w:val="none"/>
        </w:rPr>
        <w:t>analyzed</w:t>
      </w:r>
      <w:proofErr w:type="spellEnd"/>
      <w:r w:rsidRPr="00D926F9">
        <w:rPr>
          <w:rStyle w:val="Hyperlink"/>
          <w:rFonts w:cstheme="minorHAnsi"/>
          <w:color w:val="000000" w:themeColor="text1"/>
          <w:u w:val="none"/>
        </w:rPr>
        <w:t xml:space="preserve"> for the </w:t>
      </w:r>
      <w:proofErr w:type="spellStart"/>
      <w:r w:rsidRPr="00D926F9">
        <w:rPr>
          <w:rStyle w:val="Hyperlink"/>
          <w:rFonts w:cstheme="minorHAnsi"/>
          <w:color w:val="000000" w:themeColor="text1"/>
          <w:u w:val="none"/>
        </w:rPr>
        <w:t>LiST</w:t>
      </w:r>
      <w:proofErr w:type="spellEnd"/>
      <w:r w:rsidRPr="00D926F9">
        <w:rPr>
          <w:rStyle w:val="Hyperlink"/>
          <w:rFonts w:cstheme="minorHAnsi"/>
          <w:color w:val="000000" w:themeColor="text1"/>
          <w:u w:val="none"/>
        </w:rPr>
        <w:t xml:space="preserve"> exercise</w:t>
      </w:r>
      <w:r w:rsidRPr="00D926F9">
        <w:rPr>
          <w:rStyle w:val="FootnoteReference"/>
          <w:rFonts w:cstheme="minorHAnsi"/>
          <w:color w:val="000000" w:themeColor="text1"/>
        </w:rPr>
        <w:footnoteReference w:id="6"/>
      </w:r>
      <w:r w:rsidRPr="00D926F9">
        <w:rPr>
          <w:rStyle w:val="Hyperlink"/>
          <w:rFonts w:cstheme="minorHAnsi"/>
          <w:color w:val="000000" w:themeColor="text1"/>
          <w:u w:val="none"/>
        </w:rPr>
        <w:t xml:space="preserve">, and regress growth in domestic health expenditure on growth in GDP according to the IMF. Our regression model again includes lagged GDP growth, country-specific time trends, country fixed effects, and standard errors clustered at the country level. </w:t>
      </w:r>
    </w:p>
    <w:p w14:paraId="358F4748" w14:textId="77777777" w:rsidR="00FA6650" w:rsidRPr="00D926F9" w:rsidRDefault="00FA6650" w:rsidP="00FA6650">
      <w:pPr>
        <w:ind w:left="360"/>
        <w:jc w:val="both"/>
        <w:rPr>
          <w:rStyle w:val="Hyperlink"/>
          <w:rFonts w:cstheme="minorHAnsi"/>
          <w:color w:val="000000" w:themeColor="text1"/>
          <w:u w:val="none"/>
        </w:rPr>
      </w:pPr>
    </w:p>
    <w:p w14:paraId="54AE62B5" w14:textId="3A97C344" w:rsidR="00FA6650" w:rsidRPr="00D926F9" w:rsidRDefault="00FA6650" w:rsidP="00FA6650">
      <w:pPr>
        <w:ind w:left="360"/>
        <w:jc w:val="both"/>
        <w:rPr>
          <w:rStyle w:val="Hyperlink"/>
          <w:rFonts w:cstheme="minorHAnsi"/>
          <w:color w:val="000000" w:themeColor="text1"/>
          <w:u w:val="none"/>
        </w:rPr>
      </w:pPr>
      <w:r w:rsidRPr="00D926F9">
        <w:rPr>
          <w:rStyle w:val="Hyperlink"/>
          <w:rFonts w:cstheme="minorHAnsi"/>
          <w:color w:val="000000" w:themeColor="text1"/>
          <w:u w:val="none"/>
        </w:rPr>
        <w:t xml:space="preserve">A percentage point increase in GDP growth is associated with a 1.5 percentage point increase in domestic health expenditure. Thus, domestic health financing is similarly elastic as donor aid. As of September 2020, the MIRAGRODEP moderate scenario projects GDP to decline by 6.1% for </w:t>
      </w:r>
      <w:r w:rsidR="007D3FBE">
        <w:rPr>
          <w:rStyle w:val="Hyperlink"/>
          <w:rFonts w:cstheme="minorHAnsi"/>
          <w:color w:val="000000" w:themeColor="text1"/>
          <w:u w:val="none"/>
        </w:rPr>
        <w:t>LMIC</w:t>
      </w:r>
      <w:r w:rsidRPr="00D926F9">
        <w:rPr>
          <w:rStyle w:val="Hyperlink"/>
          <w:rFonts w:cstheme="minorHAnsi"/>
          <w:color w:val="000000" w:themeColor="text1"/>
          <w:u w:val="none"/>
        </w:rPr>
        <w:t xml:space="preserve"> countries in 2020 and continue to decline at slower rates in 2021 and 2022. Combined with our dynamic estimates, this implies that on average, domestic financing for health will fall by 7.2% in 2020, by 4.2% in 2021, and by 2.2% in 2022, not recovering to pre-crisis levels until the end of the decade unless there is strong bounce-back growth in </w:t>
      </w:r>
      <w:r w:rsidR="007D3FBE">
        <w:rPr>
          <w:rStyle w:val="Hyperlink"/>
          <w:rFonts w:cstheme="minorHAnsi"/>
          <w:color w:val="000000" w:themeColor="text1"/>
          <w:u w:val="none"/>
        </w:rPr>
        <w:t>LMIC</w:t>
      </w:r>
      <w:r w:rsidRPr="00D926F9">
        <w:rPr>
          <w:rStyle w:val="Hyperlink"/>
          <w:rFonts w:cstheme="minorHAnsi"/>
          <w:color w:val="000000" w:themeColor="text1"/>
          <w:u w:val="none"/>
        </w:rPr>
        <w:t xml:space="preserve">.  </w:t>
      </w:r>
    </w:p>
    <w:p w14:paraId="410D9385" w14:textId="77777777" w:rsidR="00FA6650" w:rsidRPr="008F340F" w:rsidRDefault="00FA6650" w:rsidP="00FA6650">
      <w:pPr>
        <w:pStyle w:val="m-4530479559457075764msolistparagraph"/>
        <w:spacing w:before="0" w:beforeAutospacing="0" w:after="0" w:afterAutospacing="0"/>
        <w:ind w:left="360"/>
        <w:rPr>
          <w:rFonts w:asciiTheme="minorHAnsi" w:hAnsiTheme="minorHAnsi" w:cstheme="minorHAnsi"/>
          <w:color w:val="000000" w:themeColor="text1"/>
          <w:sz w:val="22"/>
          <w:szCs w:val="22"/>
        </w:rPr>
      </w:pPr>
    </w:p>
    <w:p w14:paraId="40E12005" w14:textId="77777777" w:rsidR="00FA6650" w:rsidRPr="00D926F9" w:rsidRDefault="00FA6650" w:rsidP="00FA6650">
      <w:pPr>
        <w:ind w:left="360"/>
        <w:jc w:val="both"/>
        <w:rPr>
          <w:rStyle w:val="Hyperlink"/>
          <w:rFonts w:cstheme="minorHAnsi"/>
          <w:color w:val="000000" w:themeColor="text1"/>
          <w:u w:val="none"/>
        </w:rPr>
      </w:pPr>
      <w:r w:rsidRPr="00D926F9">
        <w:rPr>
          <w:rStyle w:val="Hyperlink"/>
          <w:rFonts w:cstheme="minorHAnsi"/>
          <w:color w:val="000000" w:themeColor="text1"/>
          <w:u w:val="none"/>
        </w:rPr>
        <w:t xml:space="preserve">In conclusion, under all three scenarios there is projected to be a significant shortfall in aid to nutrition-sensitive sectors through the end of the decade relative to pre-crisis expectations, accompanied by a similar sustained decrease in domestic health budgets. Leading up to the Nutrition for Growth (N4G) Summit in 2021, donors and country governments will need to make </w:t>
      </w:r>
      <w:r w:rsidRPr="00D926F9">
        <w:rPr>
          <w:rStyle w:val="Hyperlink"/>
          <w:rFonts w:cstheme="minorHAnsi"/>
          <w:color w:val="000000" w:themeColor="text1"/>
          <w:u w:val="none"/>
        </w:rPr>
        <w:lastRenderedPageBreak/>
        <w:t xml:space="preserve">significant financial and policy commitments to nutrition to counter the business-as-usual projected financing decrease in the </w:t>
      </w:r>
      <w:proofErr w:type="gramStart"/>
      <w:r w:rsidRPr="00D926F9">
        <w:rPr>
          <w:rStyle w:val="Hyperlink"/>
          <w:rFonts w:cstheme="minorHAnsi"/>
          <w:color w:val="000000" w:themeColor="text1"/>
          <w:u w:val="none"/>
        </w:rPr>
        <w:t>short-term, and</w:t>
      </w:r>
      <w:proofErr w:type="gramEnd"/>
      <w:r w:rsidRPr="00D926F9">
        <w:rPr>
          <w:rStyle w:val="Hyperlink"/>
          <w:rFonts w:cstheme="minorHAnsi"/>
          <w:color w:val="000000" w:themeColor="text1"/>
          <w:u w:val="none"/>
        </w:rPr>
        <w:t xml:space="preserve"> stay on course to meet the World Health Assembly targets. </w:t>
      </w:r>
    </w:p>
    <w:p w14:paraId="17963D54" w14:textId="77777777" w:rsidR="00FA6650" w:rsidRPr="008F340F" w:rsidRDefault="00FA6650" w:rsidP="00FA6650">
      <w:pPr>
        <w:ind w:left="360"/>
        <w:jc w:val="both"/>
        <w:rPr>
          <w:rStyle w:val="Hyperlink"/>
          <w:rFonts w:cstheme="minorHAnsi"/>
          <w:color w:val="000000" w:themeColor="text1"/>
        </w:rPr>
      </w:pPr>
    </w:p>
    <w:p w14:paraId="719F4CC3" w14:textId="77777777" w:rsidR="00FA6650" w:rsidRPr="008E633D" w:rsidRDefault="00FA6650" w:rsidP="00FA6650">
      <w:pPr>
        <w:pStyle w:val="ListParagraph"/>
        <w:numPr>
          <w:ilvl w:val="0"/>
          <w:numId w:val="1"/>
        </w:numPr>
        <w:rPr>
          <w:b/>
          <w:bCs/>
          <w:sz w:val="28"/>
          <w:szCs w:val="28"/>
        </w:rPr>
      </w:pPr>
      <w:r>
        <w:rPr>
          <w:b/>
          <w:bCs/>
          <w:sz w:val="28"/>
          <w:szCs w:val="28"/>
        </w:rPr>
        <w:t>G</w:t>
      </w:r>
      <w:r w:rsidRPr="008E633D">
        <w:rPr>
          <w:b/>
          <w:bCs/>
          <w:sz w:val="28"/>
          <w:szCs w:val="28"/>
        </w:rPr>
        <w:t>lobal budget optimization analysis</w:t>
      </w:r>
    </w:p>
    <w:p w14:paraId="0750C11D" w14:textId="77777777" w:rsidR="00FA6650" w:rsidRPr="00142873" w:rsidRDefault="00FA6650" w:rsidP="00FA6650">
      <w:pPr>
        <w:rPr>
          <w:b/>
          <w:bCs/>
          <w:sz w:val="24"/>
          <w:szCs w:val="24"/>
        </w:rPr>
      </w:pPr>
      <w:r w:rsidRPr="00142873">
        <w:rPr>
          <w:b/>
          <w:bCs/>
          <w:sz w:val="24"/>
          <w:szCs w:val="24"/>
        </w:rPr>
        <w:t>OBJECTIVE FUNCTION CHOICE</w:t>
      </w:r>
    </w:p>
    <w:p w14:paraId="400D3B25" w14:textId="77777777" w:rsidR="00FA6650" w:rsidRPr="00A17297" w:rsidRDefault="00FA6650" w:rsidP="00FA6650">
      <w:pPr>
        <w:spacing w:after="0" w:line="276" w:lineRule="auto"/>
      </w:pPr>
      <w:r>
        <w:t>For this study, the objective of maximizing the number of</w:t>
      </w:r>
      <w:r w:rsidRPr="00A17297">
        <w:t xml:space="preserve"> alive and non-stunted</w:t>
      </w:r>
      <w:r>
        <w:t xml:space="preserve"> children was selected to</w:t>
      </w:r>
      <w:r w:rsidRPr="00A17297">
        <w:t xml:space="preserve"> </w:t>
      </w:r>
      <w:r>
        <w:t>balance the importance of mortality reductions from</w:t>
      </w:r>
      <w:r w:rsidRPr="00A17297">
        <w:t xml:space="preserve"> reducing wasting </w:t>
      </w:r>
      <w:r>
        <w:t>(e.g.</w:t>
      </w:r>
      <w:r w:rsidRPr="00A17297">
        <w:t xml:space="preserve"> treatment of SAM</w:t>
      </w:r>
      <w:r>
        <w:t xml:space="preserve">) alongside the goal of reducing stunting. However, a decision needed to be made on how to weight the two objectives. To assess this, multiple optimizations were run with the emphasis on stunting and mortality being varied; </w:t>
      </w:r>
      <w:proofErr w:type="gramStart"/>
      <w:r>
        <w:t>specifically</w:t>
      </w:r>
      <w:proofErr w:type="gramEnd"/>
      <w:r>
        <w:t xml:space="preserve"> to test objective functions of</w:t>
      </w:r>
    </w:p>
    <w:p w14:paraId="56A2CA77" w14:textId="77777777" w:rsidR="00FA6650" w:rsidRPr="00A17297" w:rsidRDefault="00FA6650" w:rsidP="00FA6650">
      <w:pPr>
        <w:pStyle w:val="ListParagraph"/>
        <w:numPr>
          <w:ilvl w:val="0"/>
          <w:numId w:val="2"/>
        </w:numPr>
      </w:pPr>
      <w:r>
        <w:t>Maximize {number of a</w:t>
      </w:r>
      <w:r w:rsidRPr="00A17297">
        <w:t>live and non-stunted</w:t>
      </w:r>
      <w:r>
        <w:t xml:space="preserve"> children}</w:t>
      </w:r>
    </w:p>
    <w:p w14:paraId="3E3E10C5" w14:textId="77777777" w:rsidR="00FA6650" w:rsidRPr="00A17297" w:rsidRDefault="00FA6650" w:rsidP="00FA6650">
      <w:pPr>
        <w:pStyle w:val="ListParagraph"/>
        <w:numPr>
          <w:ilvl w:val="0"/>
          <w:numId w:val="2"/>
        </w:numPr>
      </w:pPr>
      <w:r>
        <w:t>Maximize {number of a</w:t>
      </w:r>
      <w:r w:rsidRPr="00A17297">
        <w:t>live and non-stunted</w:t>
      </w:r>
      <w:r>
        <w:t xml:space="preserve"> children – total number of under-five deaths}</w:t>
      </w:r>
    </w:p>
    <w:p w14:paraId="6E1631BA" w14:textId="77777777" w:rsidR="00FA6650" w:rsidRPr="00A17297" w:rsidRDefault="00FA6650" w:rsidP="00FA6650">
      <w:pPr>
        <w:pStyle w:val="ListParagraph"/>
        <w:numPr>
          <w:ilvl w:val="0"/>
          <w:numId w:val="2"/>
        </w:numPr>
      </w:pPr>
      <w:r>
        <w:t>Maximize {number of a</w:t>
      </w:r>
      <w:r w:rsidRPr="00A17297">
        <w:t>live and non-stunted</w:t>
      </w:r>
      <w:r>
        <w:t xml:space="preserve"> children – 5 * total number of under-five deaths}</w:t>
      </w:r>
    </w:p>
    <w:p w14:paraId="647E9671" w14:textId="77777777" w:rsidR="00FA6650" w:rsidRPr="00A17297" w:rsidRDefault="00FA6650" w:rsidP="00FA6650">
      <w:pPr>
        <w:pStyle w:val="ListParagraph"/>
        <w:numPr>
          <w:ilvl w:val="0"/>
          <w:numId w:val="2"/>
        </w:numPr>
      </w:pPr>
      <w:r>
        <w:t>Maximize {number of a</w:t>
      </w:r>
      <w:r w:rsidRPr="00A17297">
        <w:t>live and non-stunted</w:t>
      </w:r>
      <w:r>
        <w:t xml:space="preserve"> children – 10 * total number of under-five deaths}</w:t>
      </w:r>
    </w:p>
    <w:p w14:paraId="675E6037" w14:textId="77777777" w:rsidR="00FA6650" w:rsidRPr="00A17297" w:rsidRDefault="00FA6650" w:rsidP="00FA6650">
      <w:pPr>
        <w:pStyle w:val="ListParagraph"/>
        <w:numPr>
          <w:ilvl w:val="0"/>
          <w:numId w:val="2"/>
        </w:numPr>
      </w:pPr>
      <w:r w:rsidRPr="00A17297">
        <w:t>Minimize</w:t>
      </w:r>
      <w:r>
        <w:t xml:space="preserve"> {total number of under-five deaths}</w:t>
      </w:r>
    </w:p>
    <w:p w14:paraId="2A9DFECA" w14:textId="54517289" w:rsidR="00FA6650" w:rsidRPr="00A17297" w:rsidRDefault="00FA6650" w:rsidP="00FA6650">
      <w:r>
        <w:t xml:space="preserve">For each of these objectives Figure </w:t>
      </w:r>
      <w:r w:rsidR="00794942">
        <w:t>3</w:t>
      </w:r>
      <w:r>
        <w:t xml:space="preserve"> shows the optimal allocation of the 2021 budgets, aggregated over 118 countries, in analogous scenarios to the main paper; i.e. </w:t>
      </w:r>
      <w:r w:rsidRPr="00F26FE2">
        <w:t>project</w:t>
      </w:r>
      <w:r>
        <w:t>ing the model</w:t>
      </w:r>
      <w:r w:rsidRPr="00F26FE2">
        <w:t xml:space="preserve"> for 2020-2022 inclusive with pre-optimization epidemiological indicators and intervention coverages based on the medium scenario</w:t>
      </w:r>
      <w:r>
        <w:t xml:space="preserve">. Figure </w:t>
      </w:r>
      <w:r w:rsidR="00794942">
        <w:t>4</w:t>
      </w:r>
      <w:r>
        <w:t xml:space="preserve"> shows the corresponding </w:t>
      </w:r>
      <w:r w:rsidRPr="00A17297">
        <w:t xml:space="preserve">deaths averted </w:t>
      </w:r>
      <w:r>
        <w:t>(</w:t>
      </w:r>
      <w:r w:rsidRPr="00A17297">
        <w:t>orange</w:t>
      </w:r>
      <w:r>
        <w:t>)</w:t>
      </w:r>
      <w:r w:rsidRPr="00A17297">
        <w:t xml:space="preserve"> vs stunting cases averted </w:t>
      </w:r>
      <w:r>
        <w:t>(</w:t>
      </w:r>
      <w:r w:rsidRPr="00A17297">
        <w:t>blue</w:t>
      </w:r>
      <w:r>
        <w:t>). From this, we determined that a</w:t>
      </w:r>
      <w:r w:rsidRPr="008215DD">
        <w:t xml:space="preserve">n </w:t>
      </w:r>
      <w:r w:rsidRPr="001B7893">
        <w:rPr>
          <w:b/>
          <w:bCs/>
        </w:rPr>
        <w:t xml:space="preserve">objective of </w:t>
      </w:r>
      <w:r w:rsidRPr="001B7893">
        <w:rPr>
          <w:b/>
          <w:bCs/>
          <w:i/>
          <w:iCs/>
        </w:rPr>
        <w:t xml:space="preserve">alive and non-stunted </w:t>
      </w:r>
      <w:r>
        <w:rPr>
          <w:b/>
          <w:bCs/>
          <w:i/>
          <w:iCs/>
        </w:rPr>
        <w:t>-</w:t>
      </w:r>
      <w:r w:rsidRPr="001B7893">
        <w:rPr>
          <w:b/>
          <w:bCs/>
          <w:i/>
          <w:iCs/>
        </w:rPr>
        <w:t xml:space="preserve"> </w:t>
      </w:r>
      <w:r>
        <w:rPr>
          <w:b/>
          <w:bCs/>
          <w:i/>
          <w:iCs/>
        </w:rPr>
        <w:t>5</w:t>
      </w:r>
      <w:r w:rsidRPr="001B7893">
        <w:rPr>
          <w:b/>
          <w:bCs/>
          <w:i/>
          <w:iCs/>
        </w:rPr>
        <w:t>* mortality</w:t>
      </w:r>
      <w:r w:rsidRPr="001B7893">
        <w:rPr>
          <w:b/>
          <w:bCs/>
        </w:rPr>
        <w:t xml:space="preserve"> appears to give a good balance between averting deaths and averting stunting cases</w:t>
      </w:r>
      <w:r>
        <w:rPr>
          <w:b/>
          <w:bCs/>
        </w:rPr>
        <w:t xml:space="preserve">. </w:t>
      </w:r>
      <w:r>
        <w:t>In particular, using any</w:t>
      </w:r>
      <w:r w:rsidRPr="00A17297">
        <w:t xml:space="preserve"> weight of &gt;1 for mortality </w:t>
      </w:r>
      <w:r>
        <w:t>led to equivalent</w:t>
      </w:r>
      <w:r w:rsidRPr="00A17297">
        <w:t xml:space="preserve"> qualitative</w:t>
      </w:r>
      <w:r>
        <w:t xml:space="preserve"> recommendations</w:t>
      </w:r>
      <w:r w:rsidRPr="00A17297">
        <w:t xml:space="preserve"> – i.e. diverting fund</w:t>
      </w:r>
      <w:r>
        <w:t xml:space="preserve">ing from the public provision of complementary foods </w:t>
      </w:r>
      <w:r w:rsidRPr="00A17297">
        <w:t>to treatment of SAM</w:t>
      </w:r>
      <w:r>
        <w:t xml:space="preserve">, vitamin A supplementation, breastfeeding promotion and nutrition </w:t>
      </w:r>
      <w:proofErr w:type="spellStart"/>
      <w:r>
        <w:t>counseling</w:t>
      </w:r>
      <w:proofErr w:type="spellEnd"/>
      <w:r>
        <w:t xml:space="preserve"> interventions.</w:t>
      </w:r>
    </w:p>
    <w:p w14:paraId="0A4458F0" w14:textId="77777777" w:rsidR="00FA6650" w:rsidRPr="00A17297" w:rsidRDefault="00FA6650" w:rsidP="00FA6650">
      <w:pPr>
        <w:jc w:val="center"/>
      </w:pPr>
      <w:r w:rsidRPr="001B6245">
        <w:rPr>
          <w:noProof/>
        </w:rPr>
        <w:drawing>
          <wp:inline distT="0" distB="0" distL="0" distR="0" wp14:anchorId="7AAA7C4C" wp14:editId="796F562F">
            <wp:extent cx="4796286" cy="2674463"/>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825152" cy="2690559"/>
                    </a:xfrm>
                    <a:prstGeom prst="rect">
                      <a:avLst/>
                    </a:prstGeom>
                  </pic:spPr>
                </pic:pic>
              </a:graphicData>
            </a:graphic>
          </wp:inline>
        </w:drawing>
      </w:r>
    </w:p>
    <w:p w14:paraId="7B14A296" w14:textId="37B77840" w:rsidR="00FA6650" w:rsidRDefault="00FA6650" w:rsidP="00FA6650">
      <w:pPr>
        <w:rPr>
          <w:i/>
          <w:iCs/>
        </w:rPr>
      </w:pPr>
      <w:r w:rsidRPr="00F26FE2">
        <w:rPr>
          <w:b/>
          <w:bCs/>
        </w:rPr>
        <w:t xml:space="preserve">Figure </w:t>
      </w:r>
      <w:r w:rsidR="007D4904">
        <w:rPr>
          <w:b/>
          <w:bCs/>
        </w:rPr>
        <w:t>3</w:t>
      </w:r>
      <w:r w:rsidRPr="00F26FE2">
        <w:rPr>
          <w:b/>
          <w:bCs/>
        </w:rPr>
        <w:t>. Optimal budget allocations depend on the objective function of choice.</w:t>
      </w:r>
      <w:r>
        <w:t xml:space="preserve"> Left bar: estimated e</w:t>
      </w:r>
      <w:r w:rsidRPr="005C6C34">
        <w:t>xpenditure on selected nutrition interventions in 2019</w:t>
      </w:r>
      <w:r>
        <w:t>, calculated by combining</w:t>
      </w:r>
      <w:r w:rsidRPr="005C6C34">
        <w:t xml:space="preserve"> coverage </w:t>
      </w:r>
      <w:r>
        <w:t>estimates (medium scenario) and</w:t>
      </w:r>
      <w:r w:rsidRPr="005C6C34">
        <w:t xml:space="preserve"> unit cost estimate</w:t>
      </w:r>
      <w:r>
        <w:t>s. Right bars:</w:t>
      </w:r>
      <w:r w:rsidRPr="005C6C34">
        <w:t xml:space="preserve"> optimized </w:t>
      </w:r>
      <w:r>
        <w:t xml:space="preserve">budget </w:t>
      </w:r>
      <w:r>
        <w:lastRenderedPageBreak/>
        <w:t>allocation to maximize different objectives</w:t>
      </w:r>
      <w:r w:rsidRPr="005C6C34">
        <w:t>. Results are aggregated over 1</w:t>
      </w:r>
      <w:r>
        <w:t>1</w:t>
      </w:r>
      <w:r w:rsidRPr="005C6C34">
        <w:t xml:space="preserve">8 countries, and variations exist across countries </w:t>
      </w:r>
      <w:r>
        <w:t>due to</w:t>
      </w:r>
      <w:r w:rsidRPr="005C6C34">
        <w:t xml:space="preserve"> </w:t>
      </w:r>
      <w:r>
        <w:t xml:space="preserve">demographic, </w:t>
      </w:r>
      <w:r w:rsidRPr="005C6C34">
        <w:t>epidemiological and economic factors.</w:t>
      </w:r>
      <w:r>
        <w:t xml:space="preserve"> Breastfeeding </w:t>
      </w:r>
      <w:r w:rsidRPr="001B6245">
        <w:t xml:space="preserve">promotion includes both early initiation and exclusive </w:t>
      </w:r>
      <w:r>
        <w:t>breastfeeding</w:t>
      </w:r>
      <w:r w:rsidRPr="001B6245">
        <w:t xml:space="preserve"> promotion</w:t>
      </w:r>
      <w:r>
        <w:t>.</w:t>
      </w:r>
    </w:p>
    <w:p w14:paraId="61AE458F" w14:textId="77777777" w:rsidR="00FA6650" w:rsidRPr="00A17297" w:rsidRDefault="00FA6650" w:rsidP="00FA6650">
      <w:pPr>
        <w:rPr>
          <w:b/>
          <w:bCs/>
        </w:rPr>
      </w:pPr>
    </w:p>
    <w:p w14:paraId="75AF5C88" w14:textId="77777777" w:rsidR="00FA6650" w:rsidRPr="00A17297" w:rsidRDefault="00FA6650" w:rsidP="00FA6650">
      <w:r w:rsidRPr="001B442F">
        <w:rPr>
          <w:noProof/>
        </w:rPr>
        <w:drawing>
          <wp:inline distT="0" distB="0" distL="0" distR="0" wp14:anchorId="3F4A3C8A" wp14:editId="1E015087">
            <wp:extent cx="5400000" cy="320952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00000" cy="3209524"/>
                    </a:xfrm>
                    <a:prstGeom prst="rect">
                      <a:avLst/>
                    </a:prstGeom>
                  </pic:spPr>
                </pic:pic>
              </a:graphicData>
            </a:graphic>
          </wp:inline>
        </w:drawing>
      </w:r>
    </w:p>
    <w:p w14:paraId="637DC896" w14:textId="624C4DB6" w:rsidR="00FA6650" w:rsidRPr="00A17297" w:rsidRDefault="00FA6650" w:rsidP="00FA6650">
      <w:pPr>
        <w:rPr>
          <w:b/>
          <w:bCs/>
        </w:rPr>
      </w:pPr>
      <w:r w:rsidRPr="00F26FE2">
        <w:rPr>
          <w:b/>
          <w:bCs/>
        </w:rPr>
        <w:t xml:space="preserve">Figure </w:t>
      </w:r>
      <w:r w:rsidR="006276C5">
        <w:rPr>
          <w:b/>
          <w:bCs/>
        </w:rPr>
        <w:t>4</w:t>
      </w:r>
      <w:r>
        <w:rPr>
          <w:b/>
          <w:bCs/>
        </w:rPr>
        <w:t>:</w:t>
      </w:r>
      <w:r w:rsidRPr="00F26FE2">
        <w:rPr>
          <w:b/>
          <w:bCs/>
        </w:rPr>
        <w:t xml:space="preserve"> </w:t>
      </w:r>
      <w:r>
        <w:rPr>
          <w:b/>
          <w:bCs/>
        </w:rPr>
        <w:t>There is a trade-off between different outcomes when optimizing, which is defined by the objective function</w:t>
      </w:r>
      <w:r w:rsidRPr="00F26FE2">
        <w:rPr>
          <w:b/>
          <w:bCs/>
        </w:rPr>
        <w:t>.</w:t>
      </w:r>
      <w:r>
        <w:t xml:space="preserve"> Graph shows estimated deaths averted (orange) and stunting cases averted (blue) when budgets are allocated based on different objective weightings</w:t>
      </w:r>
      <w:r w:rsidRPr="005C6C34">
        <w:t>. Results are aggregated over 1</w:t>
      </w:r>
      <w:r>
        <w:t>1</w:t>
      </w:r>
      <w:r w:rsidRPr="005C6C34">
        <w:t xml:space="preserve">8 countries, and variations exist across countries </w:t>
      </w:r>
      <w:r>
        <w:t>due to</w:t>
      </w:r>
      <w:r w:rsidRPr="005C6C34">
        <w:t xml:space="preserve"> </w:t>
      </w:r>
      <w:r>
        <w:t xml:space="preserve">demographic, </w:t>
      </w:r>
      <w:r w:rsidRPr="005C6C34">
        <w:t>epidemiological and economic factors.</w:t>
      </w:r>
    </w:p>
    <w:p w14:paraId="6B851402" w14:textId="77777777" w:rsidR="00FA6650" w:rsidRPr="00A17297" w:rsidRDefault="00FA6650" w:rsidP="00FA6650">
      <w:pPr>
        <w:rPr>
          <w:i/>
          <w:iCs/>
          <w:u w:val="single"/>
        </w:rPr>
      </w:pPr>
    </w:p>
    <w:p w14:paraId="74004F37" w14:textId="74B88E36" w:rsidR="00FA6650" w:rsidRDefault="00FA6650">
      <w:pPr>
        <w:sectPr w:rsidR="00FA6650">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708" w:footer="708" w:gutter="0"/>
          <w:cols w:space="708"/>
          <w:docGrid w:linePitch="360"/>
        </w:sectPr>
      </w:pPr>
    </w:p>
    <w:p w14:paraId="1723B97F" w14:textId="4AEBF00F" w:rsidR="00FA6650" w:rsidRDefault="00FA6650"/>
    <w:p w14:paraId="2B190DE8" w14:textId="77777777" w:rsidR="00FA6650" w:rsidRPr="00142873" w:rsidRDefault="00FA6650" w:rsidP="00FA6650">
      <w:pPr>
        <w:rPr>
          <w:b/>
          <w:bCs/>
          <w:sz w:val="24"/>
          <w:szCs w:val="24"/>
        </w:rPr>
      </w:pPr>
      <w:r w:rsidRPr="00142873">
        <w:rPr>
          <w:b/>
          <w:bCs/>
          <w:sz w:val="24"/>
          <w:szCs w:val="24"/>
        </w:rPr>
        <w:t>INTERVENTION PARAMETERS FOR COST AND IMPACT</w:t>
      </w:r>
    </w:p>
    <w:p w14:paraId="7B3755B1" w14:textId="77777777" w:rsidR="00FA6650" w:rsidRDefault="00FA6650" w:rsidP="00FA6650">
      <w:pPr>
        <w:spacing w:after="120"/>
        <w:jc w:val="both"/>
        <w:rPr>
          <w:rFonts w:cstheme="minorHAnsi"/>
          <w:spacing w:val="-2"/>
        </w:rPr>
      </w:pPr>
      <w:r>
        <w:rPr>
          <w:rFonts w:cstheme="minorHAnsi"/>
          <w:spacing w:val="-2"/>
        </w:rPr>
        <w:t xml:space="preserve">An ingredients-based approach was used to estimate the country-specific unit costs of each intervention (i.e. the cost per beneficiary). Cost components were considered across eight domains: commodities, supply chain costs, health provider time, and fractional overhead costs associated with </w:t>
      </w:r>
      <w:r w:rsidRPr="00392B49">
        <w:rPr>
          <w:rFonts w:cstheme="minorHAnsi"/>
          <w:spacing w:val="-2"/>
        </w:rPr>
        <w:t>infrastructure</w:t>
      </w:r>
      <w:r>
        <w:rPr>
          <w:rFonts w:cstheme="minorHAnsi"/>
          <w:spacing w:val="-2"/>
        </w:rPr>
        <w:t>/</w:t>
      </w:r>
      <w:r w:rsidRPr="00392B49">
        <w:rPr>
          <w:rFonts w:cstheme="minorHAnsi"/>
          <w:spacing w:val="-2"/>
        </w:rPr>
        <w:t>equipment</w:t>
      </w:r>
      <w:r>
        <w:rPr>
          <w:rFonts w:cstheme="minorHAnsi"/>
          <w:spacing w:val="-2"/>
        </w:rPr>
        <w:t>, health information systems, health financing policy,</w:t>
      </w:r>
      <w:r w:rsidRPr="00392B49">
        <w:rPr>
          <w:rFonts w:cstheme="minorHAnsi"/>
          <w:spacing w:val="-2"/>
        </w:rPr>
        <w:t xml:space="preserve"> governan</w:t>
      </w:r>
      <w:r>
        <w:rPr>
          <w:rFonts w:cstheme="minorHAnsi"/>
          <w:spacing w:val="-2"/>
        </w:rPr>
        <w:t>ce and</w:t>
      </w:r>
      <w:r w:rsidRPr="00392B49">
        <w:rPr>
          <w:rFonts w:cstheme="minorHAnsi"/>
          <w:spacing w:val="-2"/>
        </w:rPr>
        <w:t xml:space="preserve"> additional health programme costs</w:t>
      </w:r>
      <w:r>
        <w:rPr>
          <w:rFonts w:cstheme="minorHAnsi"/>
          <w:spacing w:val="-2"/>
        </w:rPr>
        <w:t xml:space="preserve"> required for their delivery.</w:t>
      </w:r>
    </w:p>
    <w:p w14:paraId="14DF7465" w14:textId="5F950862" w:rsidR="00FA6650" w:rsidRDefault="00FA6650" w:rsidP="00FA6650">
      <w:pPr>
        <w:spacing w:after="120"/>
        <w:jc w:val="both"/>
        <w:rPr>
          <w:rFonts w:cstheme="minorHAnsi"/>
          <w:spacing w:val="-2"/>
        </w:rPr>
      </w:pPr>
      <w:r>
        <w:rPr>
          <w:rFonts w:cstheme="minorHAnsi"/>
          <w:spacing w:val="-2"/>
        </w:rPr>
        <w:t xml:space="preserve">Global </w:t>
      </w:r>
      <w:r w:rsidRPr="003F2C07">
        <w:rPr>
          <w:rFonts w:cstheme="minorHAnsi"/>
          <w:spacing w:val="-2"/>
        </w:rPr>
        <w:t xml:space="preserve">commodity costs </w:t>
      </w:r>
      <w:r>
        <w:rPr>
          <w:rFonts w:cstheme="minorHAnsi"/>
          <w:spacing w:val="-2"/>
        </w:rPr>
        <w:t xml:space="preserve">were used, </w:t>
      </w:r>
      <w:r w:rsidRPr="003F2C07">
        <w:rPr>
          <w:rFonts w:cstheme="minorHAnsi"/>
          <w:spacing w:val="-2"/>
        </w:rPr>
        <w:t>estimated from either the WHO International Drug Price Indicator Guide or UNICEF supply cost estimates</w:t>
      </w:r>
      <w:r>
        <w:rPr>
          <w:rFonts w:cstheme="minorHAnsi"/>
          <w:spacing w:val="-2"/>
        </w:rPr>
        <w:t xml:space="preserve"> (X</w:t>
      </w:r>
      <w:r w:rsidRPr="003F2C07">
        <w:rPr>
          <w:rFonts w:cstheme="minorHAnsi"/>
          <w:spacing w:val="-2"/>
        </w:rPr>
        <w:t xml:space="preserve">) and </w:t>
      </w:r>
      <w:r>
        <w:rPr>
          <w:rFonts w:cstheme="minorHAnsi"/>
          <w:spacing w:val="-2"/>
        </w:rPr>
        <w:t xml:space="preserve">country-specific </w:t>
      </w:r>
      <w:r w:rsidRPr="003F2C07">
        <w:rPr>
          <w:rFonts w:cstheme="minorHAnsi"/>
          <w:spacing w:val="-2"/>
        </w:rPr>
        <w:t xml:space="preserve">health provider time </w:t>
      </w:r>
      <w:r>
        <w:rPr>
          <w:rFonts w:cstheme="minorHAnsi"/>
          <w:spacing w:val="-2"/>
        </w:rPr>
        <w:t xml:space="preserve">requirements </w:t>
      </w:r>
      <w:r w:rsidRPr="003F2C07">
        <w:rPr>
          <w:rFonts w:cstheme="minorHAnsi"/>
          <w:spacing w:val="-2"/>
        </w:rPr>
        <w:t>(taken from the OneHealth</w:t>
      </w:r>
      <w:r w:rsidR="002B4D57">
        <w:rPr>
          <w:rFonts w:cstheme="minorHAnsi"/>
          <w:spacing w:val="-2"/>
        </w:rPr>
        <w:fldChar w:fldCharType="begin" w:fldLock="1"/>
      </w:r>
      <w:r w:rsidR="002B4D57">
        <w:rPr>
          <w:rFonts w:cstheme="minorHAnsi"/>
          <w:spacing w:val="-2"/>
        </w:rPr>
        <w:instrText>ADDIN CSL_CITATION {"citationItems":[{"id":"ITEM-1","itemData":{"URL":"https://www.avenirhealth.org/software-onehealth.php","id":"ITEM-1","issued":{"date-parts":[["0"]]},"title":"Avenir Health. OneHealth Tool (2019)","type":"webpage"},"uris":["http://www.mendeley.com/documents/?uuid=7f47cac1-7258-4372-8ac0-e235926cceba"]}],"mendeley":{"formattedCitation":"&lt;sup&gt;11&lt;/sup&gt;","plainTextFormattedCitation":"11","previouslyFormattedCitation":"&lt;sup&gt;11&lt;/sup&gt;"},"properties":{"noteIndex":0},"schema":"https://github.com/citation-style-language/schema/raw/master/csl-citation.json"}</w:instrText>
      </w:r>
      <w:r w:rsidR="002B4D57">
        <w:rPr>
          <w:rFonts w:cstheme="minorHAnsi"/>
          <w:spacing w:val="-2"/>
        </w:rPr>
        <w:fldChar w:fldCharType="separate"/>
      </w:r>
      <w:r w:rsidR="002B4D57" w:rsidRPr="002B4D57">
        <w:rPr>
          <w:rFonts w:cstheme="minorHAnsi"/>
          <w:noProof/>
          <w:spacing w:val="-2"/>
          <w:vertAlign w:val="superscript"/>
        </w:rPr>
        <w:t>11</w:t>
      </w:r>
      <w:r w:rsidR="002B4D57">
        <w:rPr>
          <w:rFonts w:cstheme="minorHAnsi"/>
          <w:spacing w:val="-2"/>
        </w:rPr>
        <w:fldChar w:fldCharType="end"/>
      </w:r>
      <w:r w:rsidRPr="003F2C07">
        <w:rPr>
          <w:rFonts w:cstheme="minorHAnsi"/>
          <w:spacing w:val="-2"/>
        </w:rPr>
        <w:t xml:space="preserve"> tool</w:t>
      </w:r>
      <w:r>
        <w:rPr>
          <w:rFonts w:cstheme="minorHAnsi"/>
          <w:spacing w:val="-2"/>
        </w:rPr>
        <w:t xml:space="preserve"> X</w:t>
      </w:r>
      <w:r w:rsidRPr="003F2C07">
        <w:rPr>
          <w:rFonts w:cstheme="minorHAnsi"/>
          <w:spacing w:val="-2"/>
        </w:rPr>
        <w:t xml:space="preserve"> and Bhutta et al</w:t>
      </w:r>
      <w:r w:rsidR="00D926F9">
        <w:rPr>
          <w:rFonts w:cstheme="minorHAnsi"/>
          <w:spacing w:val="-2"/>
        </w:rPr>
        <w:fldChar w:fldCharType="begin" w:fldLock="1"/>
      </w:r>
      <w:r w:rsidR="002B4D57">
        <w:rPr>
          <w:rFonts w:cstheme="minorHAnsi"/>
          <w:spacing w:val="-2"/>
        </w:rPr>
        <w:instrText>ADDIN CSL_CITATION {"citationItems":[{"id":"ITEM-1","itemData":{"DOI":"10.1016/S0140-6736(13)60996-4","ISSN":"1474547X","abstract":"Maternal undernutrition contributes to 800000 neonatal deaths annually through small for gestational age births; stunting, wasting, and micronutrient deficiencies are estimated to underlie nearly 3·1 million child deaths annually. Progress has been made with many interventions implemented at scale and the evidence for effectiveness of nutrition interventions and delivery strategies has grown since The Lancet Series on Maternal and Child Undernutrition in 2008. We did a comprehensive update of interventions to address undernutrition and micronutrient deficiencies in women and children and used standard methods to assess emerging new evidence for delivery platforms. We modelled the effect on lives saved and cost of these interventions in the 34 countries that have 90% of the world's children with stunted growth. We also examined the effect of various delivery platforms and delivery options using community health workers to engage poor populations and promote behaviour change, access and uptake of interventions. Our analysis suggests the current total of deaths in children younger than 5 years can be reduced by 15% if populations can access ten evidence-based nutrition interventions at 90% coverage. Additionally, access to and uptake of iodised salt can alleviate iodine deficiency and improve health outcomes. Accelerated gains are possible and about a fifth of the existing burden of stunting can be averted using these approaches, if access is improved in this way. The estimated total additional annual cost involved for scaling up access to these ten direct nutrition interventions in the 34 focus countries is Int$9·6 billion per year. Continued investments in nutrition-specific interventions to avert maternal and child undernutrition and micronutrient deficiencies through community engagement and delivery strategies that can reach poor segments of the population at greatest risk can make a great difference. If this improved access is linked to nutrition-sensitive approaches - ie, women's empowerment, agriculture, food systems, education, employment, social protection, and safety nets - they can greatly accelerate progress in countries with the highest burden of maternal and child undernutrition and mortality. © 2013 Elsevier Ltd.","author":[{"dropping-particle":"","family":"Bhutta","given":"Zulfiqar A.","non-dropping-particle":"","parse-names":false,"suffix":""},{"dropping-particle":"","family":"Das","given":"Jai K.","non-dropping-particle":"","parse-names":false,"suffix":""},{"dropping-particle":"","family":"Rizvi","given":"Arjumand","non-dropping-particle":"","parse-names":false,"suffix":""},{"dropping-particle":"","family":"Gaffey","given":"Michelle F.","non-dropping-particle":"","parse-names":false,"suffix":""},{"dropping-particle":"","family":"Walker","given":"Neff","non-dropping-particle":"","parse-names":false,"suffix":""},{"dropping-particle":"","family":"Horton","given":"Susan","non-dropping-particle":"","parse-names":false,"suffix":""},{"dropping-particle":"","family":"Webb","given":"Patrick","non-dropping-particle":"","parse-names":false,"suffix":""},{"dropping-particle":"","family":"Lartey","given":"Anna","non-dropping-particle":"","parse-names":false,"suffix":""},{"dropping-particle":"","family":"Black","given":"Robert E.","non-dropping-particle":"","parse-names":false,"suffix":""}],"container-title":"The Lancet","id":"ITEM-1","issue":"9890","issued":{"date-parts":[["2013"]]},"page":"452-477","publisher":"Lancet Publishing Group","title":"Evidence-based interventions for improvement of maternal and child nutrition: What can be done and at what cost?","type":"article","volume":"382"},"uris":["http://www.mendeley.com/documents/?uuid=60852f15-0f6f-3931-90f4-e1b7428061f7"]}],"mendeley":{"formattedCitation":"&lt;sup&gt;12&lt;/sup&gt;","plainTextFormattedCitation":"12","previouslyFormattedCitation":"&lt;sup&gt;12&lt;/sup&gt;"},"properties":{"noteIndex":0},"schema":"https://github.com/citation-style-language/schema/raw/master/csl-citation.json"}</w:instrText>
      </w:r>
      <w:r w:rsidR="00D926F9">
        <w:rPr>
          <w:rFonts w:cstheme="minorHAnsi"/>
          <w:spacing w:val="-2"/>
        </w:rPr>
        <w:fldChar w:fldCharType="separate"/>
      </w:r>
      <w:r w:rsidR="002B4D57" w:rsidRPr="002B4D57">
        <w:rPr>
          <w:rFonts w:cstheme="minorHAnsi"/>
          <w:noProof/>
          <w:spacing w:val="-2"/>
          <w:vertAlign w:val="superscript"/>
        </w:rPr>
        <w:t>12</w:t>
      </w:r>
      <w:r w:rsidR="00D926F9">
        <w:rPr>
          <w:rFonts w:cstheme="minorHAnsi"/>
          <w:spacing w:val="-2"/>
        </w:rPr>
        <w:fldChar w:fldCharType="end"/>
      </w:r>
      <w:r>
        <w:rPr>
          <w:rFonts w:cstheme="minorHAnsi"/>
          <w:spacing w:val="-2"/>
        </w:rPr>
        <w:t>,</w:t>
      </w:r>
      <w:r w:rsidRPr="003F2C07">
        <w:rPr>
          <w:rFonts w:cstheme="minorHAnsi"/>
          <w:spacing w:val="-2"/>
        </w:rPr>
        <w:t xml:space="preserve"> with per capita gross domestic product (GDP) for each country </w:t>
      </w:r>
      <w:r>
        <w:rPr>
          <w:rFonts w:cstheme="minorHAnsi"/>
          <w:spacing w:val="-2"/>
        </w:rPr>
        <w:t>used as a country-specific proxy for salary)</w:t>
      </w:r>
      <w:r w:rsidRPr="003F2C07">
        <w:rPr>
          <w:rFonts w:cstheme="minorHAnsi"/>
          <w:spacing w:val="-2"/>
        </w:rPr>
        <w:t xml:space="preserve">. </w:t>
      </w:r>
    </w:p>
    <w:p w14:paraId="5B80FB5D" w14:textId="6398689A" w:rsidR="00FA6650" w:rsidRDefault="00FA6650" w:rsidP="00FA6650">
      <w:pPr>
        <w:spacing w:after="120"/>
        <w:jc w:val="both"/>
        <w:rPr>
          <w:rFonts w:cstheme="minorHAnsi"/>
          <w:spacing w:val="-2"/>
        </w:rPr>
      </w:pPr>
      <w:r>
        <w:rPr>
          <w:rFonts w:cstheme="minorHAnsi"/>
          <w:spacing w:val="-2"/>
        </w:rPr>
        <w:t xml:space="preserve">Country-specific supply chain costs were estimated similarly to Stenberg and </w:t>
      </w:r>
      <w:r w:rsidR="002B4D57">
        <w:rPr>
          <w:rFonts w:cstheme="minorHAnsi"/>
          <w:spacing w:val="-2"/>
        </w:rPr>
        <w:t>colleagues</w:t>
      </w:r>
      <w:r w:rsidR="002B4D57">
        <w:rPr>
          <w:rFonts w:cstheme="minorHAnsi"/>
          <w:spacing w:val="-2"/>
        </w:rPr>
        <w:fldChar w:fldCharType="begin" w:fldLock="1"/>
      </w:r>
      <w:r w:rsidR="002B4D57">
        <w:rPr>
          <w:rFonts w:cstheme="minorHAnsi"/>
          <w:spacing w:val="-2"/>
        </w:rPr>
        <w:instrText>ADDIN CSL_CITATION {"citationItems":[{"id":"ITEM-1","itemData":{"DOI":"10.1016/S0140-6736(13)62231-X","ISSN":"1474547X","PMID":"24263249","abstract":"A new Global Investment Framework for Women's and Children's Health demonstrates how investment in women's and children's health will secure high health, social, and economic returns. We costed health systems strengthening and six investment packages for: maternal and newborn health, child health, immunisation, family planning, HIV/AIDS, and malaria. Nutrition is a cross-cutting theme. We then used simulation modelling to estimate the health and socioeconomic returns of these investments. Increasing health expenditure by just $5 per person per year up to 2035 in 74 high-burden countries could yield up to nine times that value in economic and social benefits. These returns include greater gross domestic product (GDP) growth through improved productivity, and prevention of the needless deaths of 147 million children, 32 million stillbirths, and 5 million women by 2035. These gains could be achieved by an additional investment of $30 billion per year, equivalent to a 2% increase above current spending.","author":[{"dropping-particle":"","family":"Stenberg","given":"Karin","non-dropping-particle":"","parse-names":false,"suffix":""},{"dropping-particle":"","family":"Axelson","given":"Henrik","non-dropping-particle":"","parse-names":false,"suffix":""},{"dropping-particle":"","family":"Sheehan","given":"Peter","non-dropping-particle":"","parse-names":false,"suffix":""},{"dropping-particle":"","family":"Anderson","given":"Ian","non-dropping-particle":"","parse-names":false,"suffix":""},{"dropping-particle":"","family":"Gülmezoglu","given":"A. Metin","non-dropping-particle":"","parse-names":false,"suffix":""},{"dropping-particle":"","family":"Temmerman","given":"Marleen","non-dropping-particle":"","parse-names":false,"suffix":""},{"dropping-particle":"","family":"Mason","given":"Elizabeth","non-dropping-particle":"","parse-names":false,"suffix":""},{"dropping-particle":"","family":"Friedman","given":"Howard S.","non-dropping-particle":"","parse-names":false,"suffix":""},{"dropping-particle":"","family":"Bhutta","given":"Zulfiqar A.","non-dropping-particle":"","parse-names":false,"suffix":""},{"dropping-particle":"","family":"Lawn","given":"Joy E.","non-dropping-particle":"","parse-names":false,"suffix":""},{"dropping-particle":"","family":"Sweeny","given":"Kim","non-dropping-particle":"","parse-names":false,"suffix":""},{"dropping-particle":"","family":"Tulloch","given":"Jim","non-dropping-particle":"","parse-names":false,"suffix":""},{"dropping-particle":"","family":"Hansen","given":"Peter","non-dropping-particle":"","parse-names":false,"suffix":""},{"dropping-particle":"","family":"Chopra","given":"Mickey","non-dropping-particle":"","parse-names":false,"suffix":""},{"dropping-particle":"","family":"Gupta","given":"Anuradha","non-dropping-particle":"","parse-names":false,"suffix":""},{"dropping-particle":"","family":"Vogel","given":"Joshua P.","non-dropping-particle":"","parse-names":false,"suffix":""},{"dropping-particle":"","family":"Ostergren","given":"Mikael","non-dropping-particle":"","parse-names":false,"suffix":""},{"dropping-particle":"","family":"Rasmussen","given":"Bruce","non-dropping-particle":"","parse-names":false,"suffix":""},{"dropping-particle":"","family":"Levin","given":"Carol","non-dropping-particle":"","parse-names":false,"suffix":""},{"dropping-particle":"","family":"Boyle","given":"Colin","non-dropping-particle":"","parse-names":false,"suffix":""},{"dropping-particle":"","family":"Kuruvilla","given":"Shyama","non-dropping-particle":"","parse-names":false,"suffix":""},{"dropping-particle":"","family":"Koblinsky","given":"Marjorie","non-dropping-particle":"","parse-names":false,"suffix":""},{"dropping-particle":"","family":"Walker","given":"Neff","non-dropping-particle":"","parse-names":false,"suffix":""},{"dropping-particle":"","family":"Francisco","given":"Andres","non-dropping-particle":"De","parse-names":false,"suffix":""},{"dropping-particle":"","family":"Novcic","given":"Nebojsa","non-dropping-particle":"","parse-names":false,"suffix":""},{"dropping-particle":"","family":"Presern","given":"Carole","non-dropping-particle":"","parse-names":false,"suffix":""},{"dropping-particle":"","family":"Jamison","given":"Dean","non-dropping-particle":"","parse-names":false,"suffix":""},{"dropping-particle":"","family":"Bustreo","given":"Flavia","non-dropping-particle":"","parse-names":false,"suffix":""}],"container-title":"The Lancet","id":"ITEM-1","issued":{"date-parts":[["2014"]]},"title":"Advancing social and economic development by investing in women's and children's health: A new Global Investment Framework","type":"article"},"uris":["http://www.mendeley.com/documents/?uuid=87426d2b-f62a-4019-93e9-e3667b49caaa"]}],"mendeley":{"formattedCitation":"&lt;sup&gt;13&lt;/sup&gt;","plainTextFormattedCitation":"13","previouslyFormattedCitation":"&lt;sup&gt;13&lt;/sup&gt;"},"properties":{"noteIndex":0},"schema":"https://github.com/citation-style-language/schema/raw/master/csl-citation.json"}</w:instrText>
      </w:r>
      <w:r w:rsidR="002B4D57">
        <w:rPr>
          <w:rFonts w:cstheme="minorHAnsi"/>
          <w:spacing w:val="-2"/>
        </w:rPr>
        <w:fldChar w:fldCharType="separate"/>
      </w:r>
      <w:r w:rsidR="002B4D57" w:rsidRPr="002B4D57">
        <w:rPr>
          <w:rFonts w:cstheme="minorHAnsi"/>
          <w:noProof/>
          <w:spacing w:val="-2"/>
          <w:vertAlign w:val="superscript"/>
        </w:rPr>
        <w:t>13</w:t>
      </w:r>
      <w:r w:rsidR="002B4D57">
        <w:rPr>
          <w:rFonts w:cstheme="minorHAnsi"/>
          <w:spacing w:val="-2"/>
        </w:rPr>
        <w:fldChar w:fldCharType="end"/>
      </w:r>
      <w:r>
        <w:rPr>
          <w:rFonts w:cstheme="minorHAnsi"/>
          <w:spacing w:val="-2"/>
        </w:rPr>
        <w:t xml:space="preserve">, who grouped 73 countries into five categories based on “Logistics System Condition”, and estimated a mark-up percentage to apply to commodities for countries in each group (ranging from 8-50% for drugs and other commodities). </w:t>
      </w:r>
      <w:r>
        <w:rPr>
          <w:rFonts w:eastAsia="Times New Roman" w:cstheme="minorHAnsi"/>
        </w:rPr>
        <w:t xml:space="preserve">The additional countries in this study were allocated into the five groups by determining an approximate range of GDP per capita for each group (higher GDP per capita is assumed to be associated with better logistics system conditions). </w:t>
      </w:r>
    </w:p>
    <w:p w14:paraId="7E381338" w14:textId="0A217DC7" w:rsidR="00FA6650" w:rsidRDefault="00FA6650" w:rsidP="00FA6650">
      <w:pPr>
        <w:spacing w:after="120"/>
        <w:jc w:val="both"/>
        <w:rPr>
          <w:rFonts w:cstheme="minorHAnsi"/>
          <w:spacing w:val="-2"/>
        </w:rPr>
      </w:pPr>
      <w:r>
        <w:rPr>
          <w:rFonts w:cstheme="minorHAnsi"/>
          <w:spacing w:val="-2"/>
        </w:rPr>
        <w:t>The fractional c</w:t>
      </w:r>
      <w:r w:rsidRPr="00392B49">
        <w:rPr>
          <w:rFonts w:cstheme="minorHAnsi"/>
          <w:spacing w:val="-2"/>
        </w:rPr>
        <w:t xml:space="preserve">osts associated </w:t>
      </w:r>
      <w:r>
        <w:rPr>
          <w:rFonts w:cstheme="minorHAnsi"/>
          <w:spacing w:val="-2"/>
        </w:rPr>
        <w:t>with the remaining five domains were estimated based on Stenberg and colleagues’</w:t>
      </w:r>
      <w:r w:rsidR="002B4D57">
        <w:rPr>
          <w:rFonts w:cstheme="minorHAnsi"/>
          <w:spacing w:val="-2"/>
        </w:rPr>
        <w:fldChar w:fldCharType="begin" w:fldLock="1"/>
      </w:r>
      <w:r w:rsidR="00CD50A7">
        <w:rPr>
          <w:rFonts w:cstheme="minorHAnsi"/>
          <w:spacing w:val="-2"/>
        </w:rPr>
        <w:instrText>ADDIN CSL_CITATION {"citationItems":[{"id":"ITEM-1","itemData":{"DOI":"10.1016/S2214-109X(17)30263-2","ISSN":"2214109X","PMID":"28728918","abstract":"Background The ambitious development agenda of the Sustainable Development Goals (SDGs) requires substantial investments across several sectors, including for SDG 3 (healthy lives and wellbeing). No estimates of the additional resources needed to strengthen comprehensive health service delivery towards the attainment of SDG 3 and universal health coverage in low-income and middle-income countries have been published. Methods We developed a framework for health systems strengthening, within which population-level and individual-level health service coverage is gradually scaled up over time. We developed projections for 67 low-income and middle-income countries from 2016 to 2030, representing 95% of the total population in low-income and middle-income countries. We considered four service delivery platforms, and modelled two scenarios with differing levels of ambition: a progress scenario, in which countries' advancement towards global targets is constrained by their health system's assumed absorptive capacity, and an ambitious scenario, in which most countries attain the global targets. We estimated the associated costs and health effects, including reduced prevalence of illness, lives saved, and increases in life expectancy. We projected available funding by country and year, taking into account economic growth and anticipated allocation towards the health sector, to allow for an analysis of affordability and financial sustainability. Findings We estimate that an additional $274 billion spending on health is needed per year by 2030 to make progress towards the SDG 3 targets (progress scenario), whereas US$371 billion would be needed to reach health system targets in the ambitious scenario—the equivalent of an additional $41 (range 15–102) or $58 (22–167) per person, respectively, by the final years of scale-up. In the ambitious scenario, total health-care spending would increase to a population-weighted mean of $271 per person (range 74–984) across country contexts, and the share of gross domestic product spent on health would increase to a mean of 7·5% (2·1–20·5). Around 75% of costs are for health systems, with health workforce and infrastructure (including medical equipment) as the main cost drivers. Despite projected increases in health spending, a financing gap of $20–54 billion per year is projected. Should funds be made available and used as planned, the ambitious scenario would save 97 million lives and significantly increase life expectancy by …","author":[{"dropping-particle":"","family":"Stenberg","given":"Karin","non-dropping-particle":"","parse-names":false,"suffix":""},{"dropping-particle":"","family":"Hanssen","given":"Odd","non-dropping-particle":"","parse-names":false,"suffix":""},{"dropping-particle":"","family":"Edejer","given":"Tessa Tan Torres","non-dropping-particle":"","parse-names":false,"suffix":""},{"dropping-particle":"","family":"Bertram","given":"Melanie","non-dropping-particle":"","parse-names":false,"suffix":""},{"dropping-particle":"","family":"Brindley","given":"Callum","non-dropping-particle":"","parse-names":false,"suffix":""},{"dropping-particle":"","family":"Meshreky","given":"Andreia","non-dropping-particle":"","parse-names":false,"suffix":""},{"dropping-particle":"","family":"Rosen","given":"James E.","non-dropping-particle":"","parse-names":false,"suffix":""},{"dropping-particle":"","family":"Stover","given":"John","non-dropping-particle":"","parse-names":false,"suffix":""},{"dropping-particle":"","family":"Verboom","given":"Paul","non-dropping-particle":"","parse-names":false,"suffix":""},{"dropping-particle":"","family":"Sanders","given":"Rachel","non-dropping-particle":"","parse-names":false,"suffix":""},{"dropping-particle":"","family":"Soucat","given":"Agnès","non-dropping-particle":"","parse-names":false,"suffix":""}],"container-title":"The Lancet Global Health","id":"ITEM-1","issued":{"date-parts":[["2017"]]},"title":"Financing transformative health systems towards achievement of the health Sustainable Development Goals: a model for projected resource needs in 67 low-income and middle-income countries","type":"article-journal"},"uris":["http://www.mendeley.com/documents/?uuid=6f1debff-9c43-4abf-b770-c296ae3cfa58"]}],"mendeley":{"formattedCitation":"&lt;sup&gt;14&lt;/sup&gt;","plainTextFormattedCitation":"14","previouslyFormattedCitation":"&lt;sup&gt;14&lt;/sup&gt;"},"properties":{"noteIndex":0},"schema":"https://github.com/citation-style-language/schema/raw/master/csl-citation.json"}</w:instrText>
      </w:r>
      <w:r w:rsidR="002B4D57">
        <w:rPr>
          <w:rFonts w:cstheme="minorHAnsi"/>
          <w:spacing w:val="-2"/>
        </w:rPr>
        <w:fldChar w:fldCharType="separate"/>
      </w:r>
      <w:r w:rsidR="002B4D57" w:rsidRPr="002B4D57">
        <w:rPr>
          <w:rFonts w:cstheme="minorHAnsi"/>
          <w:noProof/>
          <w:spacing w:val="-2"/>
          <w:vertAlign w:val="superscript"/>
        </w:rPr>
        <w:t>14</w:t>
      </w:r>
      <w:r w:rsidR="002B4D57">
        <w:rPr>
          <w:rFonts w:cstheme="minorHAnsi"/>
          <w:spacing w:val="-2"/>
        </w:rPr>
        <w:fldChar w:fldCharType="end"/>
      </w:r>
      <w:r>
        <w:rPr>
          <w:rFonts w:cstheme="minorHAnsi"/>
          <w:spacing w:val="-2"/>
        </w:rPr>
        <w:t xml:space="preserve"> work estimating the financing needs of health system expansion to achieve universal health care. They estimated that costs associated with </w:t>
      </w:r>
      <w:r w:rsidRPr="00392B49">
        <w:rPr>
          <w:rFonts w:cstheme="minorHAnsi"/>
          <w:spacing w:val="-2"/>
        </w:rPr>
        <w:t>infrastructure and equipment</w:t>
      </w:r>
      <w:r>
        <w:rPr>
          <w:rFonts w:cstheme="minorHAnsi"/>
          <w:spacing w:val="-2"/>
        </w:rPr>
        <w:t xml:space="preserve">, health information systems, health financing policy, governance and </w:t>
      </w:r>
      <w:r w:rsidRPr="00392B49">
        <w:rPr>
          <w:rFonts w:cstheme="minorHAnsi"/>
          <w:spacing w:val="-2"/>
        </w:rPr>
        <w:t>ad</w:t>
      </w:r>
      <w:r>
        <w:rPr>
          <w:rFonts w:cstheme="minorHAnsi"/>
          <w:spacing w:val="-2"/>
        </w:rPr>
        <w:t xml:space="preserve">ditional health programme costs would comprise </w:t>
      </w:r>
      <w:r w:rsidRPr="003621C8">
        <w:rPr>
          <w:rFonts w:cstheme="minorHAnsi"/>
          <w:spacing w:val="-2"/>
        </w:rPr>
        <w:t>51% of</w:t>
      </w:r>
      <w:r>
        <w:rPr>
          <w:rFonts w:cstheme="minorHAnsi"/>
          <w:spacing w:val="-2"/>
        </w:rPr>
        <w:t xml:space="preserve"> the total costs (i.e. commodities, health provider time and supply chain costs only account for 49% of all costs). </w:t>
      </w:r>
      <w:r w:rsidRPr="003621C8">
        <w:rPr>
          <w:rFonts w:cstheme="minorHAnsi"/>
          <w:spacing w:val="-2"/>
        </w:rPr>
        <w:t xml:space="preserve">Therefore, the overall (country-specific) unit cost for each intervention was calculated by </w:t>
      </w:r>
      <w:r>
        <w:rPr>
          <w:rFonts w:cstheme="minorHAnsi"/>
          <w:spacing w:val="-2"/>
        </w:rPr>
        <w:t>adding the</w:t>
      </w:r>
      <w:r w:rsidRPr="003621C8">
        <w:rPr>
          <w:rFonts w:cstheme="minorHAnsi"/>
          <w:spacing w:val="-2"/>
        </w:rPr>
        <w:t xml:space="preserve"> commodity, health provider time and supply chain costs</w:t>
      </w:r>
      <w:r>
        <w:rPr>
          <w:rFonts w:cstheme="minorHAnsi"/>
          <w:spacing w:val="-2"/>
        </w:rPr>
        <w:t>, and inflating</w:t>
      </w:r>
      <w:r w:rsidRPr="003621C8">
        <w:rPr>
          <w:rFonts w:cstheme="minorHAnsi"/>
          <w:spacing w:val="-2"/>
        </w:rPr>
        <w:t xml:space="preserve"> by </w:t>
      </w:r>
      <w:r>
        <w:rPr>
          <w:rFonts w:cstheme="minorHAnsi"/>
          <w:spacing w:val="-2"/>
        </w:rPr>
        <w:t>~100%</w:t>
      </w:r>
      <w:r w:rsidRPr="003621C8">
        <w:rPr>
          <w:rFonts w:cstheme="minorHAnsi"/>
          <w:spacing w:val="-2"/>
        </w:rPr>
        <w:t>.</w:t>
      </w:r>
      <w:r>
        <w:rPr>
          <w:rFonts w:cstheme="minorHAnsi"/>
          <w:spacing w:val="-2"/>
        </w:rPr>
        <w:t xml:space="preserve">  </w:t>
      </w:r>
    </w:p>
    <w:p w14:paraId="484655E3" w14:textId="7C9BFD99" w:rsidR="00FA6650" w:rsidRDefault="00FA6650" w:rsidP="00FA6650">
      <w:pPr>
        <w:spacing w:after="120"/>
        <w:jc w:val="both"/>
        <w:rPr>
          <w:rFonts w:cstheme="minorHAnsi"/>
          <w:spacing w:val="-2"/>
        </w:rPr>
      </w:pPr>
      <w:r w:rsidRPr="00D9107C">
        <w:rPr>
          <w:rFonts w:cstheme="minorHAnsi"/>
          <w:spacing w:val="-2"/>
        </w:rPr>
        <w:t xml:space="preserve">Costs are </w:t>
      </w:r>
      <w:r w:rsidRPr="00DF2B55">
        <w:rPr>
          <w:rFonts w:cstheme="minorHAnsi"/>
          <w:spacing w:val="-2"/>
        </w:rPr>
        <w:t>presented in 2020 US$ with details for each intervention</w:t>
      </w:r>
      <w:r w:rsidRPr="00D9107C">
        <w:rPr>
          <w:rFonts w:cstheme="minorHAnsi"/>
          <w:spacing w:val="-2"/>
        </w:rPr>
        <w:t xml:space="preserve"> in</w:t>
      </w:r>
      <w:r>
        <w:rPr>
          <w:rFonts w:cstheme="minorHAnsi"/>
          <w:spacing w:val="-2"/>
        </w:rPr>
        <w:t xml:space="preserve"> Table </w:t>
      </w:r>
      <w:r w:rsidR="006276C5">
        <w:rPr>
          <w:rFonts w:cstheme="minorHAnsi"/>
          <w:spacing w:val="-2"/>
        </w:rPr>
        <w:t>3</w:t>
      </w:r>
      <w:r w:rsidRPr="00D9107C">
        <w:rPr>
          <w:rFonts w:cstheme="minorHAnsi"/>
          <w:spacing w:val="-2"/>
        </w:rPr>
        <w:t>. Discounting is not included</w:t>
      </w:r>
      <w:r>
        <w:rPr>
          <w:rFonts w:cstheme="minorHAnsi"/>
          <w:spacing w:val="-2"/>
        </w:rPr>
        <w:t>.</w:t>
      </w:r>
    </w:p>
    <w:p w14:paraId="431632E6" w14:textId="65A143D6" w:rsidR="00CD50A7" w:rsidRDefault="00CD50A7" w:rsidP="00CD50A7">
      <w:pPr>
        <w:pStyle w:val="Caption"/>
      </w:pPr>
      <w:r>
        <w:br/>
        <w:t xml:space="preserve">Table </w:t>
      </w:r>
      <w:r w:rsidR="006276C5">
        <w:t>3</w:t>
      </w:r>
      <w:r>
        <w:t xml:space="preserve">: Intervention effects and unit costs. </w:t>
      </w:r>
    </w:p>
    <w:tbl>
      <w:tblPr>
        <w:tblStyle w:val="TableGrid"/>
        <w:tblW w:w="14596" w:type="dxa"/>
        <w:jc w:val="center"/>
        <w:tblLook w:val="04A0" w:firstRow="1" w:lastRow="0" w:firstColumn="1" w:lastColumn="0" w:noHBand="0" w:noVBand="1"/>
      </w:tblPr>
      <w:tblGrid>
        <w:gridCol w:w="2501"/>
        <w:gridCol w:w="1141"/>
        <w:gridCol w:w="1256"/>
        <w:gridCol w:w="2752"/>
        <w:gridCol w:w="6946"/>
      </w:tblGrid>
      <w:tr w:rsidR="00CD50A7" w:rsidRPr="00031FAB" w14:paraId="745641B8" w14:textId="77777777" w:rsidTr="0045537D">
        <w:trPr>
          <w:jc w:val="center"/>
        </w:trPr>
        <w:tc>
          <w:tcPr>
            <w:tcW w:w="2501" w:type="dxa"/>
            <w:shd w:val="clear" w:color="auto" w:fill="000000" w:themeFill="text1"/>
            <w:vAlign w:val="center"/>
          </w:tcPr>
          <w:p w14:paraId="45AB80CA" w14:textId="77777777" w:rsidR="00CD50A7" w:rsidRPr="00C1442D" w:rsidRDefault="00CD50A7" w:rsidP="0045537D">
            <w:pPr>
              <w:rPr>
                <w:rFonts w:asciiTheme="majorHAnsi" w:hAnsiTheme="majorHAnsi" w:cstheme="majorHAnsi"/>
                <w:b/>
                <w:sz w:val="20"/>
                <w:szCs w:val="20"/>
              </w:rPr>
            </w:pPr>
            <w:r w:rsidRPr="00C1442D">
              <w:rPr>
                <w:rFonts w:asciiTheme="majorHAnsi" w:eastAsia="Times New Roman" w:hAnsiTheme="majorHAnsi" w:cstheme="majorHAnsi"/>
                <w:b/>
                <w:sz w:val="20"/>
                <w:szCs w:val="20"/>
                <w:lang w:eastAsia="en-AU"/>
              </w:rPr>
              <w:t>Target populations and effects</w:t>
            </w:r>
          </w:p>
        </w:tc>
        <w:tc>
          <w:tcPr>
            <w:tcW w:w="1141" w:type="dxa"/>
            <w:shd w:val="clear" w:color="auto" w:fill="000000" w:themeFill="text1"/>
            <w:vAlign w:val="center"/>
          </w:tcPr>
          <w:p w14:paraId="5F789A0D" w14:textId="77777777" w:rsidR="00CD50A7" w:rsidRPr="00C1442D" w:rsidRDefault="00CD50A7" w:rsidP="0045537D">
            <w:pPr>
              <w:jc w:val="center"/>
              <w:rPr>
                <w:rFonts w:asciiTheme="majorHAnsi" w:eastAsia="Times New Roman" w:hAnsiTheme="majorHAnsi" w:cstheme="majorHAnsi"/>
                <w:b/>
                <w:i/>
                <w:color w:val="FFFFFF" w:themeColor="background1"/>
                <w:sz w:val="20"/>
                <w:szCs w:val="20"/>
                <w:lang w:eastAsia="en-AU"/>
              </w:rPr>
            </w:pPr>
          </w:p>
        </w:tc>
        <w:tc>
          <w:tcPr>
            <w:tcW w:w="4008" w:type="dxa"/>
            <w:gridSpan w:val="2"/>
            <w:shd w:val="clear" w:color="auto" w:fill="000000" w:themeFill="text1"/>
            <w:vAlign w:val="center"/>
          </w:tcPr>
          <w:p w14:paraId="30BAC84E" w14:textId="77777777" w:rsidR="00CD50A7" w:rsidRPr="00C1442D" w:rsidRDefault="00CD50A7" w:rsidP="0045537D">
            <w:pPr>
              <w:jc w:val="center"/>
              <w:rPr>
                <w:rFonts w:asciiTheme="majorHAnsi" w:hAnsiTheme="majorHAnsi" w:cstheme="majorHAnsi"/>
                <w:sz w:val="20"/>
                <w:szCs w:val="20"/>
              </w:rPr>
            </w:pPr>
          </w:p>
        </w:tc>
        <w:tc>
          <w:tcPr>
            <w:tcW w:w="6946" w:type="dxa"/>
            <w:shd w:val="clear" w:color="auto" w:fill="000000" w:themeFill="text1"/>
            <w:vAlign w:val="center"/>
          </w:tcPr>
          <w:p w14:paraId="08A31B2D" w14:textId="77777777" w:rsidR="00CD50A7" w:rsidRPr="00031FAB" w:rsidRDefault="00CD50A7" w:rsidP="0045537D">
            <w:pPr>
              <w:jc w:val="center"/>
              <w:rPr>
                <w:rFonts w:asciiTheme="majorHAnsi" w:hAnsiTheme="majorHAnsi" w:cstheme="majorHAnsi"/>
                <w:b/>
                <w:sz w:val="20"/>
                <w:szCs w:val="20"/>
              </w:rPr>
            </w:pPr>
          </w:p>
        </w:tc>
      </w:tr>
      <w:tr w:rsidR="00CD50A7" w:rsidRPr="00031FAB" w14:paraId="769EC6A1" w14:textId="77777777" w:rsidTr="0045537D">
        <w:trPr>
          <w:jc w:val="center"/>
        </w:trPr>
        <w:tc>
          <w:tcPr>
            <w:tcW w:w="2501" w:type="dxa"/>
            <w:shd w:val="clear" w:color="auto" w:fill="BFBFBF" w:themeFill="background1" w:themeFillShade="BF"/>
          </w:tcPr>
          <w:p w14:paraId="2C242EC6" w14:textId="77777777" w:rsidR="00CD50A7" w:rsidRPr="00C1442D" w:rsidRDefault="00CD50A7" w:rsidP="0045537D">
            <w:pPr>
              <w:rPr>
                <w:rFonts w:asciiTheme="majorHAnsi" w:hAnsiTheme="majorHAnsi" w:cstheme="majorHAnsi"/>
                <w:sz w:val="20"/>
                <w:szCs w:val="20"/>
              </w:rPr>
            </w:pPr>
            <w:r w:rsidRPr="00C1442D">
              <w:rPr>
                <w:rFonts w:asciiTheme="majorHAnsi" w:eastAsia="Times New Roman" w:hAnsiTheme="majorHAnsi" w:cstheme="majorHAnsi"/>
                <w:sz w:val="20"/>
                <w:szCs w:val="20"/>
                <w:lang w:eastAsia="en-AU"/>
              </w:rPr>
              <w:t>Intervention</w:t>
            </w:r>
          </w:p>
        </w:tc>
        <w:tc>
          <w:tcPr>
            <w:tcW w:w="2397" w:type="dxa"/>
            <w:gridSpan w:val="2"/>
            <w:shd w:val="clear" w:color="auto" w:fill="BFBFBF" w:themeFill="background1" w:themeFillShade="BF"/>
            <w:vAlign w:val="center"/>
          </w:tcPr>
          <w:p w14:paraId="03233062" w14:textId="77777777" w:rsidR="00CD50A7" w:rsidRPr="00C1442D" w:rsidRDefault="00CD50A7" w:rsidP="0045537D">
            <w:pPr>
              <w:jc w:val="center"/>
              <w:rPr>
                <w:rFonts w:asciiTheme="majorHAnsi" w:hAnsiTheme="majorHAnsi" w:cstheme="majorHAnsi"/>
                <w:sz w:val="20"/>
                <w:szCs w:val="20"/>
              </w:rPr>
            </w:pPr>
            <w:r w:rsidRPr="00C1442D">
              <w:rPr>
                <w:rFonts w:asciiTheme="majorHAnsi" w:hAnsiTheme="majorHAnsi" w:cstheme="majorHAnsi"/>
                <w:sz w:val="20"/>
                <w:szCs w:val="20"/>
              </w:rPr>
              <w:t>Target population</w:t>
            </w:r>
          </w:p>
        </w:tc>
        <w:tc>
          <w:tcPr>
            <w:tcW w:w="2752" w:type="dxa"/>
            <w:shd w:val="clear" w:color="auto" w:fill="BFBFBF" w:themeFill="background1" w:themeFillShade="BF"/>
          </w:tcPr>
          <w:p w14:paraId="7803D9E5" w14:textId="77777777" w:rsidR="00CD50A7" w:rsidRPr="00C1442D" w:rsidRDefault="00CD50A7" w:rsidP="0045537D">
            <w:pPr>
              <w:rPr>
                <w:rFonts w:asciiTheme="majorHAnsi" w:hAnsiTheme="majorHAnsi" w:cstheme="majorHAnsi"/>
                <w:sz w:val="20"/>
                <w:szCs w:val="20"/>
              </w:rPr>
            </w:pPr>
            <w:r w:rsidRPr="00C1442D">
              <w:rPr>
                <w:rFonts w:asciiTheme="majorHAnsi" w:hAnsiTheme="majorHAnsi" w:cstheme="majorHAnsi"/>
                <w:sz w:val="20"/>
                <w:szCs w:val="20"/>
              </w:rPr>
              <w:t>Effects</w:t>
            </w:r>
          </w:p>
        </w:tc>
        <w:tc>
          <w:tcPr>
            <w:tcW w:w="6946" w:type="dxa"/>
            <w:shd w:val="clear" w:color="auto" w:fill="BFBFBF" w:themeFill="background1" w:themeFillShade="BF"/>
          </w:tcPr>
          <w:p w14:paraId="46CB0C2C" w14:textId="77777777" w:rsidR="00CD50A7" w:rsidRPr="00031FAB" w:rsidRDefault="00CD50A7" w:rsidP="0045537D">
            <w:pPr>
              <w:rPr>
                <w:rFonts w:asciiTheme="majorHAnsi" w:hAnsiTheme="majorHAnsi" w:cstheme="majorHAnsi"/>
                <w:sz w:val="20"/>
                <w:szCs w:val="20"/>
              </w:rPr>
            </w:pPr>
            <w:r w:rsidRPr="00031FAB">
              <w:rPr>
                <w:rFonts w:asciiTheme="majorHAnsi" w:hAnsiTheme="majorHAnsi" w:cstheme="majorHAnsi"/>
                <w:sz w:val="20"/>
                <w:szCs w:val="20"/>
              </w:rPr>
              <w:t>Source / Effect sizes</w:t>
            </w:r>
          </w:p>
        </w:tc>
      </w:tr>
      <w:tr w:rsidR="00CD50A7" w:rsidRPr="00031FAB" w14:paraId="2630FEBC" w14:textId="77777777" w:rsidTr="0045537D">
        <w:trPr>
          <w:jc w:val="center"/>
        </w:trPr>
        <w:tc>
          <w:tcPr>
            <w:tcW w:w="2501" w:type="dxa"/>
            <w:vAlign w:val="center"/>
          </w:tcPr>
          <w:p w14:paraId="4436F5BD" w14:textId="77777777" w:rsidR="00CD50A7" w:rsidRDefault="00CD50A7" w:rsidP="0045537D">
            <w:pPr>
              <w:rPr>
                <w:rFonts w:asciiTheme="majorHAnsi" w:eastAsia="Times New Roman" w:hAnsiTheme="majorHAnsi" w:cstheme="majorHAnsi"/>
                <w:sz w:val="20"/>
                <w:szCs w:val="20"/>
                <w:lang w:eastAsia="en-AU"/>
              </w:rPr>
            </w:pPr>
            <w:r>
              <w:rPr>
                <w:rFonts w:asciiTheme="majorHAnsi" w:eastAsia="Times New Roman" w:hAnsiTheme="majorHAnsi" w:cstheme="majorHAnsi"/>
                <w:sz w:val="20"/>
                <w:szCs w:val="20"/>
                <w:lang w:eastAsia="en-AU"/>
              </w:rPr>
              <w:t>Breastfeeding promotion</w:t>
            </w:r>
          </w:p>
        </w:tc>
        <w:tc>
          <w:tcPr>
            <w:tcW w:w="2397" w:type="dxa"/>
            <w:gridSpan w:val="2"/>
            <w:vAlign w:val="center"/>
          </w:tcPr>
          <w:p w14:paraId="0B7E3931" w14:textId="77777777" w:rsidR="00CD50A7" w:rsidRDefault="00CD50A7" w:rsidP="0045537D">
            <w:pPr>
              <w:jc w:val="center"/>
              <w:rPr>
                <w:rFonts w:asciiTheme="majorHAnsi" w:hAnsiTheme="majorHAnsi" w:cstheme="majorHAnsi"/>
                <w:sz w:val="20"/>
                <w:szCs w:val="20"/>
              </w:rPr>
            </w:pPr>
            <w:r>
              <w:rPr>
                <w:rFonts w:asciiTheme="majorHAnsi" w:hAnsiTheme="majorHAnsi" w:cstheme="majorHAnsi"/>
                <w:sz w:val="20"/>
                <w:szCs w:val="20"/>
                <w:lang w:val="en-US"/>
              </w:rPr>
              <w:t>For</w:t>
            </w:r>
            <w:r w:rsidRPr="00C1442D">
              <w:rPr>
                <w:rFonts w:asciiTheme="majorHAnsi" w:hAnsiTheme="majorHAnsi" w:cstheme="majorHAnsi"/>
                <w:sz w:val="20"/>
                <w:szCs w:val="20"/>
                <w:lang w:val="en-US"/>
              </w:rPr>
              <w:t xml:space="preserve"> children &lt; 6 months</w:t>
            </w:r>
          </w:p>
        </w:tc>
        <w:tc>
          <w:tcPr>
            <w:tcW w:w="2752" w:type="dxa"/>
            <w:vAlign w:val="center"/>
          </w:tcPr>
          <w:p w14:paraId="0464C500" w14:textId="77777777" w:rsidR="00CD50A7" w:rsidRPr="00C1442D" w:rsidRDefault="00CD50A7" w:rsidP="0045537D">
            <w:pPr>
              <w:contextualSpacing/>
              <w:rPr>
                <w:rFonts w:asciiTheme="majorHAnsi" w:hAnsiTheme="majorHAnsi" w:cstheme="majorHAnsi"/>
                <w:sz w:val="20"/>
                <w:szCs w:val="20"/>
                <w:lang w:val="en-US"/>
              </w:rPr>
            </w:pPr>
            <w:r>
              <w:rPr>
                <w:rFonts w:asciiTheme="majorHAnsi" w:hAnsiTheme="majorHAnsi" w:cstheme="majorHAnsi"/>
                <w:sz w:val="20"/>
                <w:szCs w:val="20"/>
                <w:lang w:val="en-US"/>
              </w:rPr>
              <w:t xml:space="preserve">Increases exclusive breastfeeding </w:t>
            </w:r>
          </w:p>
        </w:tc>
        <w:tc>
          <w:tcPr>
            <w:tcW w:w="6946" w:type="dxa"/>
            <w:vAlign w:val="center"/>
          </w:tcPr>
          <w:p w14:paraId="28E64D52" w14:textId="4F8A43D3" w:rsidR="00CD50A7" w:rsidRPr="00031FAB" w:rsidRDefault="00CD50A7" w:rsidP="0045537D">
            <w:pPr>
              <w:contextualSpacing/>
              <w:rPr>
                <w:rFonts w:asciiTheme="majorHAnsi" w:hAnsiTheme="majorHAnsi" w:cstheme="majorHAnsi"/>
                <w:sz w:val="20"/>
                <w:szCs w:val="20"/>
                <w:lang w:val="en-US"/>
              </w:rPr>
            </w:pPr>
            <w:r w:rsidRPr="00031FAB">
              <w:rPr>
                <w:rFonts w:asciiTheme="majorHAnsi" w:hAnsiTheme="majorHAnsi" w:cstheme="majorHAnsi"/>
                <w:sz w:val="20"/>
                <w:szCs w:val="20"/>
              </w:rPr>
              <w:t>OR = 2.17 for exclusive breastfeeding</w:t>
            </w:r>
            <w:r>
              <w:rPr>
                <w:rFonts w:asciiTheme="majorHAnsi" w:hAnsiTheme="majorHAnsi" w:cstheme="majorHAnsi"/>
                <w:sz w:val="20"/>
                <w:szCs w:val="20"/>
              </w:rPr>
              <w:t xml:space="preserve"> for children &lt; 1 month</w:t>
            </w:r>
            <w:r w:rsidRPr="00031FAB">
              <w:rPr>
                <w:rFonts w:asciiTheme="majorHAnsi" w:hAnsiTheme="majorHAnsi" w:cstheme="majorHAnsi"/>
                <w:sz w:val="20"/>
                <w:szCs w:val="20"/>
              </w:rPr>
              <w:t xml:space="preserve"> for </w:t>
            </w:r>
            <w:r w:rsidRPr="00CD50A7">
              <w:rPr>
                <w:rFonts w:asciiTheme="majorHAnsi" w:hAnsiTheme="majorHAnsi" w:cstheme="majorHAnsi"/>
                <w:sz w:val="20"/>
                <w:szCs w:val="20"/>
              </w:rPr>
              <w:t>[Sinha et al. 2017 J Nutr</w:t>
            </w:r>
            <w:r>
              <w:rPr>
                <w:rFonts w:asciiTheme="majorHAnsi" w:hAnsiTheme="majorHAnsi" w:cstheme="majorHAnsi"/>
                <w:sz w:val="20"/>
                <w:szCs w:val="20"/>
              </w:rPr>
              <w:fldChar w:fldCharType="begin" w:fldLock="1"/>
            </w:r>
            <w:r>
              <w:rPr>
                <w:rFonts w:asciiTheme="majorHAnsi" w:hAnsiTheme="majorHAnsi" w:cstheme="majorHAnsi"/>
                <w:sz w:val="20"/>
                <w:szCs w:val="20"/>
              </w:rPr>
              <w:instrText>ADDIN CSL_CITATION {"citationItems":[{"id":"ITEM-1","itemData":{"DOI":"10.3945/jn.116.242321","ISSN":"15416100","PMID":"28904116","abstract":"Background: Improving breastfeeding rates is critical. In low- and middle-income countries (LMICs), only subtle improvements in breastfeeding rates have been observed over the past decade, which highlights the need for accelerating breastfeeding promotion interventions. Objective: The objective of this article is to update evidence on the effect of interventions on early initiation of and exclusive (&lt; 1 and 1-5 mo) and continued (6-23 mo) breastfeeding rates in LMICs when delivered in health systems, in the home or in community environments, or in a combination of settings. Methods: A systematic literature search was conducted in PubMed, Cochrane, and CABI databases to identify new articles relevant to our current review, which were published after the search date of our earlier meta-analysis (October 2014). Nine new articles were found to be relevant and were included, in addition to the other 52 studies that were identified in our earlier meta-analysis. We reported the pooled ORs and corresponding 95% CIs as our outcome estimates. In cases of high heterogeneity, random-effects models were used and causes were explored by subgroup analysis and meta-regression. Results: Early initiation of and exclusive (&lt; 1 and 1-5 mo) and continued (6-23 mo) breastfeeding rates in LMICs improved significantly as a result of interventions delivered in health systems, in the home or community, or a combination of these. Interventions delivered concurrently in a combination of settings were found to show the largest improvements in desired breastfeeding outcomes. Counseling provided in any setting and baby-friendly support in health systems appear to be the most effective interventions to improve breastfeeding. Conclusions: Improvements in breastfeeding practices are possible in LMICs with judicious use of tested interventions, particularly when delivered in a combination of settings concurrently. The findings can be considered for inclusion in the Lives Saved Tool model.","author":[{"dropping-particle":"","family":"Sinha","given":"Bireshwar","non-dropping-particle":"","parse-names":false,"suffix":""},{"dropping-particle":"","family":"Chowdhury","given":"Ranadip","non-dropping-particle":"","parse-names":false,"suffix":""},{"dropping-particle":"","family":"Upadhyay","given":"Ravi Prakash","non-dropping-particle":"","parse-names":false,"suffix":""},{"dropping-particle":"","family":"Taneja","given":"Sunita","non-dropping-particle":"","parse-names":false,"suffix":""},{"dropping-particle":"","family":"Martines","given":"Jose","non-dropping-particle":"","parse-names":false,"suffix":""},{"dropping-particle":"","family":"Bahl","given":"Rajiv","non-dropping-particle":"","parse-names":false,"suffix":""},{"dropping-particle":"","family":"Sankar","given":"Mari Jeeva","non-dropping-particle":"","parse-names":false,"suffix":""}],"container-title":"Journal of Nutrition","id":"ITEM-1","issued":{"date-parts":[["2017"]]},"title":"Integrated interventions delivered in health systems, home, and community have the highest impact on breastfeeding outcomes in low- and middle-income countries","type":"article-journal"},"uris":["http://www.mendeley.com/documents/?uuid=f35d4191-6e8b-40bf-b4ec-6f91cc80f591"]}],"mendeley":{"formattedCitation":"&lt;sup&gt;15&lt;/sup&gt;","plainTextFormattedCitation":"15","previouslyFormattedCitation":"&lt;sup&gt;15&lt;/sup&gt;"},"properties":{"noteIndex":0},"schema":"https://github.com/citation-style-language/schema/raw/master/csl-citation.json"}</w:instrText>
            </w:r>
            <w:r>
              <w:rPr>
                <w:rFonts w:asciiTheme="majorHAnsi" w:hAnsiTheme="majorHAnsi" w:cstheme="majorHAnsi"/>
                <w:sz w:val="20"/>
                <w:szCs w:val="20"/>
              </w:rPr>
              <w:fldChar w:fldCharType="separate"/>
            </w:r>
            <w:r w:rsidRPr="00CD50A7">
              <w:rPr>
                <w:rFonts w:asciiTheme="majorHAnsi" w:hAnsiTheme="majorHAnsi" w:cstheme="majorHAnsi"/>
                <w:noProof/>
                <w:sz w:val="20"/>
                <w:szCs w:val="20"/>
                <w:vertAlign w:val="superscript"/>
              </w:rPr>
              <w:t>15</w:t>
            </w:r>
            <w:r>
              <w:rPr>
                <w:rFonts w:asciiTheme="majorHAnsi" w:hAnsiTheme="majorHAnsi" w:cstheme="majorHAnsi"/>
                <w:sz w:val="20"/>
                <w:szCs w:val="20"/>
              </w:rPr>
              <w:fldChar w:fldCharType="end"/>
            </w:r>
            <w:r>
              <w:rPr>
                <w:rFonts w:asciiTheme="majorHAnsi" w:hAnsiTheme="majorHAnsi" w:cstheme="majorHAnsi"/>
                <w:sz w:val="20"/>
                <w:szCs w:val="20"/>
              </w:rPr>
              <w:t xml:space="preserve">] </w:t>
            </w:r>
            <w:r w:rsidRPr="00CD50A7">
              <w:rPr>
                <w:rFonts w:asciiTheme="majorHAnsi" w:hAnsiTheme="majorHAnsi" w:cstheme="majorHAnsi"/>
                <w:sz w:val="20"/>
                <w:szCs w:val="20"/>
              </w:rPr>
              <w:t xml:space="preserve"> for interventions delivered in home or community settings in low- and middle-income countries]</w:t>
            </w:r>
            <w:r>
              <w:rPr>
                <w:rFonts w:asciiTheme="majorHAnsi" w:hAnsiTheme="majorHAnsi" w:cstheme="majorHAnsi"/>
                <w:sz w:val="20"/>
                <w:szCs w:val="20"/>
              </w:rPr>
              <w:br/>
            </w:r>
            <w:r>
              <w:br/>
            </w:r>
            <w:r w:rsidRPr="00031FAB">
              <w:rPr>
                <w:rFonts w:asciiTheme="majorHAnsi" w:hAnsiTheme="majorHAnsi" w:cstheme="majorHAnsi"/>
                <w:sz w:val="20"/>
                <w:szCs w:val="20"/>
              </w:rPr>
              <w:lastRenderedPageBreak/>
              <w:t>interventions delivered in home or community settings in low- and middle-income countries</w:t>
            </w:r>
          </w:p>
        </w:tc>
      </w:tr>
      <w:tr w:rsidR="00CD50A7" w:rsidRPr="00031FAB" w14:paraId="3FDEB14C" w14:textId="77777777" w:rsidTr="0045537D">
        <w:trPr>
          <w:jc w:val="center"/>
        </w:trPr>
        <w:tc>
          <w:tcPr>
            <w:tcW w:w="2501" w:type="dxa"/>
            <w:vAlign w:val="center"/>
          </w:tcPr>
          <w:p w14:paraId="40A931C3" w14:textId="77777777" w:rsidR="00CD50A7" w:rsidRPr="00C1442D" w:rsidRDefault="00CD50A7" w:rsidP="0045537D">
            <w:pPr>
              <w:rPr>
                <w:rFonts w:asciiTheme="majorHAnsi" w:hAnsiTheme="majorHAnsi" w:cstheme="majorHAnsi"/>
                <w:sz w:val="20"/>
                <w:szCs w:val="20"/>
              </w:rPr>
            </w:pPr>
            <w:r>
              <w:rPr>
                <w:rFonts w:asciiTheme="majorHAnsi" w:eastAsia="Times New Roman" w:hAnsiTheme="majorHAnsi" w:cstheme="majorHAnsi"/>
                <w:sz w:val="20"/>
                <w:szCs w:val="20"/>
                <w:lang w:eastAsia="en-AU"/>
              </w:rPr>
              <w:t>Kangaroo mother care (grouped with breastfeeding promotion in outputs)</w:t>
            </w:r>
          </w:p>
        </w:tc>
        <w:tc>
          <w:tcPr>
            <w:tcW w:w="2397" w:type="dxa"/>
            <w:gridSpan w:val="2"/>
            <w:vAlign w:val="center"/>
          </w:tcPr>
          <w:p w14:paraId="35E6D9E9" w14:textId="77777777" w:rsidR="00CD50A7" w:rsidRPr="00C1442D" w:rsidRDefault="00CD50A7" w:rsidP="0045537D">
            <w:pPr>
              <w:jc w:val="center"/>
              <w:rPr>
                <w:rFonts w:asciiTheme="majorHAnsi" w:hAnsiTheme="majorHAnsi" w:cstheme="majorHAnsi"/>
                <w:sz w:val="20"/>
                <w:szCs w:val="20"/>
              </w:rPr>
            </w:pPr>
            <w:r>
              <w:rPr>
                <w:rFonts w:asciiTheme="majorHAnsi" w:hAnsiTheme="majorHAnsi" w:cstheme="majorHAnsi"/>
                <w:sz w:val="20"/>
                <w:szCs w:val="20"/>
              </w:rPr>
              <w:t>Pre-term facility births</w:t>
            </w:r>
          </w:p>
        </w:tc>
        <w:tc>
          <w:tcPr>
            <w:tcW w:w="2752" w:type="dxa"/>
            <w:vAlign w:val="center"/>
          </w:tcPr>
          <w:p w14:paraId="744291D7" w14:textId="77777777" w:rsidR="00CD50A7" w:rsidRPr="00C1442D" w:rsidRDefault="00CD50A7" w:rsidP="0045537D">
            <w:pPr>
              <w:contextualSpacing/>
              <w:rPr>
                <w:rFonts w:asciiTheme="majorHAnsi" w:hAnsiTheme="majorHAnsi" w:cstheme="majorHAnsi"/>
                <w:sz w:val="20"/>
                <w:szCs w:val="20"/>
                <w:lang w:val="en-US"/>
              </w:rPr>
            </w:pPr>
            <w:r w:rsidRPr="00C1442D">
              <w:rPr>
                <w:rFonts w:asciiTheme="majorHAnsi" w:hAnsiTheme="majorHAnsi" w:cstheme="majorHAnsi"/>
                <w:sz w:val="20"/>
                <w:szCs w:val="20"/>
                <w:lang w:val="en-US"/>
              </w:rPr>
              <w:t xml:space="preserve">Increases exclusive breastfeeding </w:t>
            </w:r>
          </w:p>
          <w:p w14:paraId="38E1C8E9" w14:textId="77777777" w:rsidR="00CD50A7" w:rsidRPr="00C1442D" w:rsidRDefault="00CD50A7" w:rsidP="0045537D">
            <w:pPr>
              <w:rPr>
                <w:rFonts w:asciiTheme="majorHAnsi" w:hAnsiTheme="majorHAnsi" w:cstheme="majorHAnsi"/>
                <w:sz w:val="20"/>
                <w:szCs w:val="20"/>
              </w:rPr>
            </w:pPr>
            <w:r w:rsidRPr="00C1442D">
              <w:rPr>
                <w:rFonts w:asciiTheme="majorHAnsi" w:hAnsiTheme="majorHAnsi" w:cstheme="majorHAnsi"/>
                <w:sz w:val="20"/>
                <w:szCs w:val="20"/>
                <w:lang w:val="en-US"/>
              </w:rPr>
              <w:t xml:space="preserve">Reduces deaths due to prematurity </w:t>
            </w:r>
          </w:p>
        </w:tc>
        <w:tc>
          <w:tcPr>
            <w:tcW w:w="6946" w:type="dxa"/>
            <w:vAlign w:val="center"/>
          </w:tcPr>
          <w:p w14:paraId="48E56A63" w14:textId="3308D80A" w:rsidR="00CD50A7" w:rsidRPr="00031FAB" w:rsidRDefault="00CD50A7" w:rsidP="0045537D">
            <w:pPr>
              <w:contextualSpacing/>
              <w:rPr>
                <w:rFonts w:asciiTheme="majorHAnsi" w:hAnsiTheme="majorHAnsi" w:cstheme="majorHAnsi"/>
                <w:sz w:val="20"/>
                <w:szCs w:val="20"/>
                <w:lang w:val="en-US"/>
              </w:rPr>
            </w:pPr>
            <w:r w:rsidRPr="00031FAB">
              <w:rPr>
                <w:rFonts w:asciiTheme="majorHAnsi" w:hAnsiTheme="majorHAnsi" w:cstheme="majorHAnsi"/>
                <w:sz w:val="20"/>
                <w:szCs w:val="20"/>
                <w:lang w:val="en-US"/>
              </w:rPr>
              <w:t>OR = 1.50 for exclusive breastfeeding in children &lt; 1 month</w:t>
            </w:r>
            <w:r>
              <w:rPr>
                <w:rFonts w:asciiTheme="majorHAnsi" w:hAnsiTheme="majorHAnsi" w:cstheme="majorHAnsi"/>
                <w:sz w:val="20"/>
                <w:szCs w:val="20"/>
                <w:lang w:val="en-US"/>
              </w:rPr>
              <w:t xml:space="preserve"> </w:t>
            </w:r>
            <w:r w:rsidRPr="00CD50A7">
              <w:rPr>
                <w:rFonts w:asciiTheme="majorHAnsi" w:hAnsiTheme="majorHAnsi" w:cstheme="majorHAnsi"/>
                <w:sz w:val="20"/>
                <w:szCs w:val="20"/>
                <w:lang w:val="en-US"/>
              </w:rPr>
              <w:t>[</w:t>
            </w:r>
            <w:proofErr w:type="spellStart"/>
            <w:r w:rsidRPr="00CD50A7">
              <w:rPr>
                <w:rFonts w:asciiTheme="majorHAnsi" w:hAnsiTheme="majorHAnsi" w:cstheme="majorHAnsi"/>
                <w:sz w:val="20"/>
                <w:szCs w:val="20"/>
                <w:lang w:val="en-US"/>
              </w:rPr>
              <w:t>Boundy</w:t>
            </w:r>
            <w:proofErr w:type="spellEnd"/>
            <w:r w:rsidRPr="00CD50A7">
              <w:rPr>
                <w:rFonts w:asciiTheme="majorHAnsi" w:hAnsiTheme="majorHAnsi" w:cstheme="majorHAnsi"/>
                <w:sz w:val="20"/>
                <w:szCs w:val="20"/>
                <w:lang w:val="en-US"/>
              </w:rPr>
              <w:t xml:space="preserve"> et al. 2016, Pediatrics</w:t>
            </w:r>
            <w:r>
              <w:rPr>
                <w:rFonts w:asciiTheme="majorHAnsi" w:hAnsiTheme="majorHAnsi" w:cstheme="majorHAnsi"/>
                <w:sz w:val="20"/>
                <w:szCs w:val="20"/>
                <w:lang w:val="en-US"/>
              </w:rPr>
              <w:fldChar w:fldCharType="begin" w:fldLock="1"/>
            </w:r>
            <w:r>
              <w:rPr>
                <w:rFonts w:asciiTheme="majorHAnsi" w:hAnsiTheme="majorHAnsi" w:cstheme="majorHAnsi"/>
                <w:sz w:val="20"/>
                <w:szCs w:val="20"/>
                <w:lang w:val="en-US"/>
              </w:rPr>
              <w:instrText>ADDIN CSL_CITATION {"citationItems":[{"id":"ITEM-1","itemData":{"DOI":"10.1542/peds.2015-2238","ISSN":"10984275","PMID":"26702029","abstract":"Context: Kangaroo mother care (KMC) is an intervention aimed at improving outcomes among preterm and low birth weight newborns. Objective: Conduct a systematic review and meta-analysis estimating the association between KMC and neonatal outcomes. Data Sources: PubMed, Embase, Web of Science, Scopus, African Index Medicus (AIM), Latin American and Caribbean Health Sciences Information System (LILACS), Index Medicus for the Eastern Mediterranean Region (IMEMR), Index Medicus for the South-East Asian Region (IMSEAR), and Western Pacific Region Index Medicus (WPRIM). Study Selection: We included randomized trials and observational studies through April 2014 examining the relationship between KMC and neonatal outcomes among infants of any birth weight or gestational age. Studies with &lt;10 participants, lack of a comparison group without KMC, and those not reporting a quantitative association were excluded. DATA EXTRACTION: Two reviewers extracted data on study design, risk of bias, KMC intervention, neonatal outcomes, relative risk (RR) or mean difference measures. Results: 1035 studies were screened; 124 met inclusion criteria. Among LBW newborns, KMC compared to conventional care was associated with 36% lower mortality(RR 0.64; 95% [CI] 0.46, 0.89). KMC decreased risk of neonatal sepsis (RR 0.53, 95% CI 0.34, 0.83), hypothermia (RR 0.22; 95% CI 0.12, 0.41), hypoglycemia (RR 0.12; 95% CI 0.05, 0.32), and hospital readmission (RR 0.42; 95% CI 0.23, 0.76) and increased exclusive breastfeeding (RR 1.50; 95% CI 1.26, 1.78). Newborns receiving KMC had lower mean respiratory rate and pain measures, and higher oxygen saturation, temperature, and head circumference growth. Limitations: Lack of data on KMC limited the ability to assess dose-response. Conclusions: Interventions to scale up KMC implementation are warranted.","author":[{"dropping-particle":"","family":"Boundy","given":"Ellen O.","non-dropping-particle":"","parse-names":false,"suffix":""},{"dropping-particle":"","family":"Dastjerdi","given":"Roya","non-dropping-particle":"","parse-names":false,"suffix":""},{"dropping-particle":"","family":"Spiegelman","given":"Donna","non-dropping-particle":"","parse-names":false,"suffix":""},{"dropping-particle":"","family":"Fawzi","given":"Wafaie W.","non-dropping-particle":"","parse-names":false,"suffix":""},{"dropping-particle":"","family":"Missmer","given":"Stacey A.","non-dropping-particle":"","parse-names":false,"suffix":""},{"dropping-particle":"","family":"Lieberman","given":"Ellice","non-dropping-particle":"","parse-names":false,"suffix":""},{"dropping-particle":"","family":"Kajeepeta","given":"Sandhya","non-dropping-particle":"","parse-names":false,"suffix":""},{"dropping-particle":"","family":"Wall","given":"Stephen","non-dropping-particle":"","parse-names":false,"suffix":""},{"dropping-particle":"","family":"Chan","given":"Grace J.","non-dropping-particle":"","parse-names":false,"suffix":""}],"container-title":"Pediatrics","id":"ITEM-1","issued":{"date-parts":[["2016"]]},"title":"Kangaroo mother care and neonatal outcomes: A meta-analysis","type":"article-journal"},"uris":["http://www.mendeley.com/documents/?uuid=92aa1866-0e65-4caa-83bf-82f6dc44dea4"]}],"mendeley":{"formattedCitation":"&lt;sup&gt;16&lt;/sup&gt;","plainTextFormattedCitation":"16","previouslyFormattedCitation":"&lt;sup&gt;16&lt;/sup&gt;"},"properties":{"noteIndex":0},"schema":"https://github.com/citation-style-language/schema/raw/master/csl-citation.json"}</w:instrText>
            </w:r>
            <w:r>
              <w:rPr>
                <w:rFonts w:asciiTheme="majorHAnsi" w:hAnsiTheme="majorHAnsi" w:cstheme="majorHAnsi"/>
                <w:sz w:val="20"/>
                <w:szCs w:val="20"/>
                <w:lang w:val="en-US"/>
              </w:rPr>
              <w:fldChar w:fldCharType="separate"/>
            </w:r>
            <w:r w:rsidRPr="00CD50A7">
              <w:rPr>
                <w:rFonts w:asciiTheme="majorHAnsi" w:hAnsiTheme="majorHAnsi" w:cstheme="majorHAnsi"/>
                <w:noProof/>
                <w:sz w:val="20"/>
                <w:szCs w:val="20"/>
                <w:vertAlign w:val="superscript"/>
                <w:lang w:val="en-US"/>
              </w:rPr>
              <w:t>16</w:t>
            </w:r>
            <w:r>
              <w:rPr>
                <w:rFonts w:asciiTheme="majorHAnsi" w:hAnsiTheme="majorHAnsi" w:cstheme="majorHAnsi"/>
                <w:sz w:val="20"/>
                <w:szCs w:val="20"/>
                <w:lang w:val="en-US"/>
              </w:rPr>
              <w:fldChar w:fldCharType="end"/>
            </w:r>
            <w:r w:rsidRPr="00CD50A7">
              <w:rPr>
                <w:rFonts w:asciiTheme="majorHAnsi" w:hAnsiTheme="majorHAnsi" w:cstheme="majorHAnsi"/>
                <w:sz w:val="20"/>
                <w:szCs w:val="20"/>
                <w:lang w:val="en-US"/>
              </w:rPr>
              <w:t>]</w:t>
            </w:r>
          </w:p>
          <w:p w14:paraId="242F2658" w14:textId="3BF5E97E" w:rsidR="00CD50A7" w:rsidRPr="00031FAB" w:rsidRDefault="00CD50A7" w:rsidP="0045537D">
            <w:pPr>
              <w:rPr>
                <w:rFonts w:asciiTheme="majorHAnsi" w:hAnsiTheme="majorHAnsi" w:cstheme="majorHAnsi"/>
                <w:sz w:val="20"/>
                <w:szCs w:val="20"/>
              </w:rPr>
            </w:pPr>
            <w:r w:rsidRPr="00031FAB">
              <w:rPr>
                <w:rFonts w:asciiTheme="majorHAnsi" w:hAnsiTheme="majorHAnsi" w:cstheme="majorHAnsi"/>
                <w:sz w:val="20"/>
                <w:szCs w:val="20"/>
                <w:lang w:val="en-US"/>
              </w:rPr>
              <w:t xml:space="preserve">RRR = 0.49 for mortality due to prematurity </w:t>
            </w:r>
            <w:r w:rsidRPr="00CD50A7">
              <w:rPr>
                <w:rFonts w:asciiTheme="majorHAnsi" w:hAnsiTheme="majorHAnsi" w:cstheme="majorHAnsi"/>
                <w:sz w:val="20"/>
                <w:szCs w:val="20"/>
                <w:lang w:val="en-US"/>
              </w:rPr>
              <w:t>[Lawn et al. 2010, I J Emi 2010</w:t>
            </w:r>
            <w:r>
              <w:rPr>
                <w:rFonts w:asciiTheme="majorHAnsi" w:hAnsiTheme="majorHAnsi" w:cstheme="majorHAnsi"/>
                <w:sz w:val="20"/>
                <w:szCs w:val="20"/>
                <w:lang w:val="en-US"/>
              </w:rPr>
              <w:fldChar w:fldCharType="begin" w:fldLock="1"/>
            </w:r>
            <w:r>
              <w:rPr>
                <w:rFonts w:asciiTheme="majorHAnsi" w:hAnsiTheme="majorHAnsi" w:cstheme="majorHAnsi"/>
                <w:sz w:val="20"/>
                <w:szCs w:val="20"/>
                <w:lang w:val="en-US"/>
              </w:rPr>
              <w:instrText>ADDIN CSL_CITATION {"citationItems":[{"id":"ITEM-1","itemData":{"DOI":"10.1093/ije/dyq031","ISSN":"03005771","PMID":"20348117","abstract":"Background: 'Kangaroo mother care' (KMC) includes thermal care through continuous skin-to-skin contact, support for exclusive breastfeeding or other appropriate feeding, and early recognition/response to illness. Whilst increasingly accepted in both high- and low-income countries, a Cochrane review (2003) did not find evidence of KMC's mortality benefit, and did not report neonatal-specific data. Objectives: The objectives of this study were to review the evidence, and estimate the effect of KMC on neonatal mortality due to complications of preterm birth. Methods: We conducted systematic reviews. Standardized abstraction tables were used and study quality assessed by adapted GRADE methodology. Meta-analyses were undertaken. Results: We identified 15 studies reporting mortality and/or morbidity outcomes including nine randomized controlled trials (RCTs) and six observational studies all from low- or middle-income settings. Except one, all were hospital-based and included only babies of birth-weight &lt;2000 g (assumed preterm). The one communitybased trial had missing birthweight data, as well as other limitations and was excluded. Neonatal-specific data were supplied by two authors. Meta-analysis of three RCTs commencing KMC in the first week of life showed a significant reduction in neonatal mortality [relative risk (RR) 0.49, 95% confidence interval (CI) 0.29-0.82] compared with standard care. A meta-analysis of three observational studies also suggested significant mortality benefit (RR 0.68, 95% CI 0.58-0.79). Five RCTs suggested significant reductions in serious morbidity for babies &lt;2000 g (RR 0.34, 95% CI 0.17-0.65). Conclusion: This is the first published meta-analysis showing that KMC substantially reduces neonatal mortality amongst preterm babies (birth weight &lt;2000 g) in hospital, and is highly effective in reducing severe morbidity, particularly from infection. However, KMC remains unavailable at-scale in most low-income countries. © The Author 2010; all rights reserved.","author":[{"dropping-particle":"","family":"Lawn","given":"Joy E.","non-dropping-particle":"","parse-names":false,"suffix":""},{"dropping-particle":"","family":"Mwansa-Kambafwile","given":"Judith","non-dropping-particle":"","parse-names":false,"suffix":""},{"dropping-particle":"","family":"Horta","given":"Bernardo L.","non-dropping-particle":"","parse-names":false,"suffix":""},{"dropping-particle":"","family":"Barros","given":"Fernando C.","non-dropping-particle":"","parse-names":false,"suffix":""},{"dropping-particle":"","family":"Cousens","given":"Simon","non-dropping-particle":"","parse-names":false,"suffix":""}],"container-title":"International Journal of Epidemiology","id":"ITEM-1","issued":{"date-parts":[["2010"]]},"title":"Kangaroo mother care' to prevent neonatal deaths due to preterm birth complications","type":"article-journal"},"uris":["http://www.mendeley.com/documents/?uuid=57f9844c-5900-47c3-ad0b-fcbe30bad04a"]}],"mendeley":{"formattedCitation":"&lt;sup&gt;17&lt;/sup&gt;","plainTextFormattedCitation":"17","previouslyFormattedCitation":"&lt;sup&gt;17&lt;/sup&gt;"},"properties":{"noteIndex":0},"schema":"https://github.com/citation-style-language/schema/raw/master/csl-citation.json"}</w:instrText>
            </w:r>
            <w:r>
              <w:rPr>
                <w:rFonts w:asciiTheme="majorHAnsi" w:hAnsiTheme="majorHAnsi" w:cstheme="majorHAnsi"/>
                <w:sz w:val="20"/>
                <w:szCs w:val="20"/>
                <w:lang w:val="en-US"/>
              </w:rPr>
              <w:fldChar w:fldCharType="separate"/>
            </w:r>
            <w:r w:rsidRPr="00CD50A7">
              <w:rPr>
                <w:rFonts w:asciiTheme="majorHAnsi" w:hAnsiTheme="majorHAnsi" w:cstheme="majorHAnsi"/>
                <w:noProof/>
                <w:sz w:val="20"/>
                <w:szCs w:val="20"/>
                <w:vertAlign w:val="superscript"/>
                <w:lang w:val="en-US"/>
              </w:rPr>
              <w:t>17</w:t>
            </w:r>
            <w:r>
              <w:rPr>
                <w:rFonts w:asciiTheme="majorHAnsi" w:hAnsiTheme="majorHAnsi" w:cstheme="majorHAnsi"/>
                <w:sz w:val="20"/>
                <w:szCs w:val="20"/>
                <w:lang w:val="en-US"/>
              </w:rPr>
              <w:fldChar w:fldCharType="end"/>
            </w:r>
            <w:r w:rsidRPr="00CD50A7">
              <w:rPr>
                <w:rFonts w:asciiTheme="majorHAnsi" w:hAnsiTheme="majorHAnsi" w:cstheme="majorHAnsi"/>
                <w:sz w:val="20"/>
                <w:szCs w:val="20"/>
                <w:lang w:val="en-US"/>
              </w:rPr>
              <w:t>]</w:t>
            </w:r>
            <w:r>
              <w:rPr>
                <w:rFonts w:asciiTheme="majorHAnsi" w:hAnsiTheme="majorHAnsi" w:cstheme="majorHAnsi"/>
                <w:sz w:val="20"/>
                <w:szCs w:val="20"/>
                <w:lang w:val="en-US"/>
              </w:rPr>
              <w:br/>
              <w:t>Applies to percentage of pre-term births in facilities.</w:t>
            </w:r>
          </w:p>
        </w:tc>
      </w:tr>
      <w:tr w:rsidR="00CD50A7" w:rsidRPr="00031FAB" w14:paraId="05856DBC" w14:textId="77777777" w:rsidTr="0045537D">
        <w:trPr>
          <w:jc w:val="center"/>
        </w:trPr>
        <w:tc>
          <w:tcPr>
            <w:tcW w:w="2501" w:type="dxa"/>
            <w:vMerge w:val="restart"/>
            <w:vAlign w:val="center"/>
          </w:tcPr>
          <w:p w14:paraId="5D447458" w14:textId="77777777" w:rsidR="00CD50A7" w:rsidRDefault="00CD50A7" w:rsidP="0045537D">
            <w:pPr>
              <w:rPr>
                <w:rFonts w:asciiTheme="majorHAnsi" w:eastAsia="Times New Roman" w:hAnsiTheme="majorHAnsi" w:cstheme="majorHAnsi"/>
                <w:sz w:val="20"/>
                <w:szCs w:val="20"/>
                <w:lang w:eastAsia="en-AU"/>
              </w:rPr>
            </w:pPr>
            <w:r>
              <w:rPr>
                <w:rFonts w:asciiTheme="majorHAnsi" w:eastAsia="Times New Roman" w:hAnsiTheme="majorHAnsi" w:cstheme="majorHAnsi"/>
                <w:sz w:val="20"/>
                <w:szCs w:val="20"/>
                <w:lang w:eastAsia="en-AU"/>
              </w:rPr>
              <w:t>N</w:t>
            </w:r>
            <w:r w:rsidRPr="001B6245">
              <w:rPr>
                <w:rFonts w:asciiTheme="majorHAnsi" w:eastAsia="Times New Roman" w:hAnsiTheme="majorHAnsi" w:cstheme="majorHAnsi"/>
                <w:sz w:val="20"/>
                <w:szCs w:val="20"/>
                <w:lang w:eastAsia="en-AU"/>
              </w:rPr>
              <w:t xml:space="preserve">utrition </w:t>
            </w:r>
            <w:proofErr w:type="spellStart"/>
            <w:r w:rsidRPr="001B6245">
              <w:rPr>
                <w:rFonts w:asciiTheme="majorHAnsi" w:eastAsia="Times New Roman" w:hAnsiTheme="majorHAnsi" w:cstheme="majorHAnsi"/>
                <w:sz w:val="20"/>
                <w:szCs w:val="20"/>
                <w:lang w:eastAsia="en-AU"/>
              </w:rPr>
              <w:t>counseling</w:t>
            </w:r>
            <w:proofErr w:type="spellEnd"/>
            <w:r w:rsidRPr="001B6245">
              <w:rPr>
                <w:rFonts w:asciiTheme="majorHAnsi" w:eastAsia="Times New Roman" w:hAnsiTheme="majorHAnsi" w:cstheme="majorHAnsi"/>
                <w:sz w:val="20"/>
                <w:szCs w:val="20"/>
                <w:lang w:eastAsia="en-AU"/>
              </w:rPr>
              <w:t xml:space="preserve"> in </w:t>
            </w:r>
            <w:r>
              <w:rPr>
                <w:rFonts w:asciiTheme="majorHAnsi" w:eastAsia="Times New Roman" w:hAnsiTheme="majorHAnsi" w:cstheme="majorHAnsi"/>
                <w:sz w:val="20"/>
                <w:szCs w:val="20"/>
                <w:lang w:eastAsia="en-AU"/>
              </w:rPr>
              <w:t>(</w:t>
            </w:r>
            <w:r w:rsidRPr="001B6245">
              <w:rPr>
                <w:rFonts w:asciiTheme="majorHAnsi" w:eastAsia="Times New Roman" w:hAnsiTheme="majorHAnsi" w:cstheme="majorHAnsi"/>
                <w:sz w:val="20"/>
                <w:szCs w:val="20"/>
                <w:lang w:eastAsia="en-AU"/>
              </w:rPr>
              <w:t>food</w:t>
            </w:r>
            <w:r>
              <w:rPr>
                <w:rFonts w:asciiTheme="majorHAnsi" w:eastAsia="Times New Roman" w:hAnsiTheme="majorHAnsi" w:cstheme="majorHAnsi"/>
                <w:sz w:val="20"/>
                <w:szCs w:val="20"/>
                <w:lang w:eastAsia="en-AU"/>
              </w:rPr>
              <w:t xml:space="preserve"> </w:t>
            </w:r>
            <w:r w:rsidRPr="001B6245">
              <w:rPr>
                <w:rFonts w:asciiTheme="majorHAnsi" w:eastAsia="Times New Roman" w:hAnsiTheme="majorHAnsi" w:cstheme="majorHAnsi"/>
                <w:sz w:val="20"/>
                <w:szCs w:val="20"/>
                <w:lang w:eastAsia="en-AU"/>
              </w:rPr>
              <w:t>secure</w:t>
            </w:r>
            <w:r>
              <w:rPr>
                <w:rFonts w:asciiTheme="majorHAnsi" w:eastAsia="Times New Roman" w:hAnsiTheme="majorHAnsi" w:cstheme="majorHAnsi"/>
                <w:sz w:val="20"/>
                <w:szCs w:val="20"/>
                <w:lang w:eastAsia="en-AU"/>
              </w:rPr>
              <w:t>)</w:t>
            </w:r>
          </w:p>
        </w:tc>
        <w:tc>
          <w:tcPr>
            <w:tcW w:w="2397" w:type="dxa"/>
            <w:gridSpan w:val="2"/>
            <w:vMerge w:val="restart"/>
            <w:vAlign w:val="center"/>
          </w:tcPr>
          <w:p w14:paraId="2630359A" w14:textId="77777777" w:rsidR="00CD50A7" w:rsidRDefault="00CD50A7" w:rsidP="0045537D">
            <w:pPr>
              <w:jc w:val="center"/>
              <w:rPr>
                <w:rFonts w:asciiTheme="majorHAnsi" w:hAnsiTheme="majorHAnsi" w:cstheme="majorHAnsi"/>
                <w:sz w:val="20"/>
                <w:szCs w:val="20"/>
              </w:rPr>
            </w:pPr>
            <w:r>
              <w:rPr>
                <w:rFonts w:asciiTheme="majorHAnsi" w:hAnsiTheme="majorHAnsi" w:cstheme="majorHAnsi"/>
                <w:sz w:val="20"/>
                <w:szCs w:val="20"/>
                <w:lang w:val="en-US"/>
              </w:rPr>
              <w:t xml:space="preserve">For </w:t>
            </w:r>
            <w:r w:rsidRPr="00C1442D">
              <w:rPr>
                <w:rFonts w:asciiTheme="majorHAnsi" w:hAnsiTheme="majorHAnsi" w:cstheme="majorHAnsi"/>
                <w:sz w:val="20"/>
                <w:szCs w:val="20"/>
                <w:lang w:val="en-US"/>
              </w:rPr>
              <w:t>children 6-23 months</w:t>
            </w:r>
            <w:r>
              <w:rPr>
                <w:rFonts w:asciiTheme="majorHAnsi" w:hAnsiTheme="majorHAnsi" w:cstheme="majorHAnsi"/>
                <w:sz w:val="20"/>
                <w:szCs w:val="20"/>
                <w:lang w:val="en-US"/>
              </w:rPr>
              <w:t>; above the poverty line</w:t>
            </w:r>
          </w:p>
        </w:tc>
        <w:tc>
          <w:tcPr>
            <w:tcW w:w="2752" w:type="dxa"/>
            <w:vAlign w:val="center"/>
          </w:tcPr>
          <w:p w14:paraId="2285226C" w14:textId="77777777" w:rsidR="00CD50A7" w:rsidRPr="00C1442D" w:rsidRDefault="00CD50A7" w:rsidP="0045537D">
            <w:pPr>
              <w:contextualSpacing/>
              <w:rPr>
                <w:rFonts w:asciiTheme="majorHAnsi" w:hAnsiTheme="majorHAnsi" w:cstheme="majorHAnsi"/>
                <w:sz w:val="20"/>
                <w:szCs w:val="20"/>
                <w:lang w:val="en-US"/>
              </w:rPr>
            </w:pPr>
            <w:r>
              <w:rPr>
                <w:rFonts w:asciiTheme="majorHAnsi" w:hAnsiTheme="majorHAnsi" w:cstheme="majorHAnsi"/>
                <w:sz w:val="20"/>
                <w:szCs w:val="20"/>
                <w:lang w:val="en-US"/>
              </w:rPr>
              <w:t>Increases age-appropriate (partial) breastfeeding</w:t>
            </w:r>
          </w:p>
        </w:tc>
        <w:tc>
          <w:tcPr>
            <w:tcW w:w="6946" w:type="dxa"/>
            <w:vAlign w:val="center"/>
          </w:tcPr>
          <w:p w14:paraId="68865C07" w14:textId="30BE80ED" w:rsidR="00CD50A7" w:rsidRPr="00031FAB" w:rsidRDefault="00CD50A7" w:rsidP="0045537D">
            <w:pPr>
              <w:contextualSpacing/>
              <w:rPr>
                <w:rFonts w:asciiTheme="majorHAnsi" w:hAnsiTheme="majorHAnsi" w:cstheme="majorHAnsi"/>
                <w:sz w:val="20"/>
                <w:szCs w:val="20"/>
                <w:lang w:val="en-US"/>
              </w:rPr>
            </w:pPr>
            <w:r w:rsidRPr="00031FAB">
              <w:rPr>
                <w:rFonts w:asciiTheme="majorHAnsi" w:hAnsiTheme="majorHAnsi" w:cstheme="majorHAnsi"/>
                <w:sz w:val="20"/>
                <w:szCs w:val="20"/>
              </w:rPr>
              <w:t xml:space="preserve">OR = 1.82 for age-appropriate breastfeeding; </w:t>
            </w:r>
            <w:r w:rsidRPr="00CD50A7">
              <w:rPr>
                <w:rFonts w:asciiTheme="majorHAnsi" w:hAnsiTheme="majorHAnsi" w:cstheme="majorHAnsi"/>
                <w:sz w:val="20"/>
                <w:szCs w:val="20"/>
              </w:rPr>
              <w:t>[Sinha et al. 2017 J Nutr</w:t>
            </w:r>
            <w:r>
              <w:rPr>
                <w:rFonts w:asciiTheme="majorHAnsi" w:hAnsiTheme="majorHAnsi" w:cstheme="majorHAnsi"/>
                <w:sz w:val="20"/>
                <w:szCs w:val="20"/>
              </w:rPr>
              <w:fldChar w:fldCharType="begin" w:fldLock="1"/>
            </w:r>
            <w:r>
              <w:rPr>
                <w:rFonts w:asciiTheme="majorHAnsi" w:hAnsiTheme="majorHAnsi" w:cstheme="majorHAnsi"/>
                <w:sz w:val="20"/>
                <w:szCs w:val="20"/>
              </w:rPr>
              <w:instrText>ADDIN CSL_CITATION {"citationItems":[{"id":"ITEM-1","itemData":{"DOI":"10.3945/jn.116.242321","ISSN":"15416100","PMID":"28904116","abstract":"Background: Improving breastfeeding rates is critical. In low- and middle-income countries (LMICs), only subtle improvements in breastfeeding rates have been observed over the past decade, which highlights the need for accelerating breastfeeding promotion interventions. Objective: The objective of this article is to update evidence on the effect of interventions on early initiation of and exclusive (&lt; 1 and 1-5 mo) and continued (6-23 mo) breastfeeding rates in LMICs when delivered in health systems, in the home or in community environments, or in a combination of settings. Methods: A systematic literature search was conducted in PubMed, Cochrane, and CABI databases to identify new articles relevant to our current review, which were published after the search date of our earlier meta-analysis (October 2014). Nine new articles were found to be relevant and were included, in addition to the other 52 studies that were identified in our earlier meta-analysis. We reported the pooled ORs and corresponding 95% CIs as our outcome estimates. In cases of high heterogeneity, random-effects models were used and causes were explored by subgroup analysis and meta-regression. Results: Early initiation of and exclusive (&lt; 1 and 1-5 mo) and continued (6-23 mo) breastfeeding rates in LMICs improved significantly as a result of interventions delivered in health systems, in the home or community, or a combination of these. Interventions delivered concurrently in a combination of settings were found to show the largest improvements in desired breastfeeding outcomes. Counseling provided in any setting and baby-friendly support in health systems appear to be the most effective interventions to improve breastfeeding. Conclusions: Improvements in breastfeeding practices are possible in LMICs with judicious use of tested interventions, particularly when delivered in a combination of settings concurrently. The findings can be considered for inclusion in the Lives Saved Tool model.","author":[{"dropping-particle":"","family":"Sinha","given":"Bireshwar","non-dropping-particle":"","parse-names":false,"suffix":""},{"dropping-particle":"","family":"Chowdhury","given":"Ranadip","non-dropping-particle":"","parse-names":false,"suffix":""},{"dropping-particle":"","family":"Upadhyay","given":"Ravi Prakash","non-dropping-particle":"","parse-names":false,"suffix":""},{"dropping-particle":"","family":"Taneja","given":"Sunita","non-dropping-particle":"","parse-names":false,"suffix":""},{"dropping-particle":"","family":"Martines","given":"Jose","non-dropping-particle":"","parse-names":false,"suffix":""},{"dropping-particle":"","family":"Bahl","given":"Rajiv","non-dropping-particle":"","parse-names":false,"suffix":""},{"dropping-particle":"","family":"Sankar","given":"Mari Jeeva","non-dropping-particle":"","parse-names":false,"suffix":""}],"container-title":"Journal of Nutrition","id":"ITEM-1","issued":{"date-parts":[["2017"]]},"title":"Integrated interventions delivered in health systems, home, and community have the highest impact on breastfeeding outcomes in low- and middle-income countries","type":"article-journal"},"uris":["http://www.mendeley.com/documents/?uuid=f35d4191-6e8b-40bf-b4ec-6f91cc80f591"]}],"mendeley":{"formattedCitation":"&lt;sup&gt;15&lt;/sup&gt;","plainTextFormattedCitation":"15","previouslyFormattedCitation":"&lt;sup&gt;15&lt;/sup&gt;"},"properties":{"noteIndex":0},"schema":"https://github.com/citation-style-language/schema/raw/master/csl-citation.json"}</w:instrText>
            </w:r>
            <w:r>
              <w:rPr>
                <w:rFonts w:asciiTheme="majorHAnsi" w:hAnsiTheme="majorHAnsi" w:cstheme="majorHAnsi"/>
                <w:sz w:val="20"/>
                <w:szCs w:val="20"/>
              </w:rPr>
              <w:fldChar w:fldCharType="separate"/>
            </w:r>
            <w:r w:rsidRPr="00CD50A7">
              <w:rPr>
                <w:rFonts w:asciiTheme="majorHAnsi" w:hAnsiTheme="majorHAnsi" w:cstheme="majorHAnsi"/>
                <w:noProof/>
                <w:sz w:val="20"/>
                <w:szCs w:val="20"/>
                <w:vertAlign w:val="superscript"/>
              </w:rPr>
              <w:t>15</w:t>
            </w:r>
            <w:r>
              <w:rPr>
                <w:rFonts w:asciiTheme="majorHAnsi" w:hAnsiTheme="majorHAnsi" w:cstheme="majorHAnsi"/>
                <w:sz w:val="20"/>
                <w:szCs w:val="20"/>
              </w:rPr>
              <w:fldChar w:fldCharType="end"/>
            </w:r>
            <w:r>
              <w:rPr>
                <w:rFonts w:asciiTheme="majorHAnsi" w:hAnsiTheme="majorHAnsi" w:cstheme="majorHAnsi"/>
                <w:sz w:val="20"/>
                <w:szCs w:val="20"/>
              </w:rPr>
              <w:t xml:space="preserve">] </w:t>
            </w:r>
            <w:r w:rsidRPr="00CD50A7">
              <w:rPr>
                <w:rFonts w:asciiTheme="majorHAnsi" w:hAnsiTheme="majorHAnsi" w:cstheme="majorHAnsi"/>
                <w:sz w:val="20"/>
                <w:szCs w:val="20"/>
              </w:rPr>
              <w:t xml:space="preserve"> </w:t>
            </w:r>
          </w:p>
        </w:tc>
      </w:tr>
      <w:tr w:rsidR="00CD50A7" w:rsidRPr="00031FAB" w14:paraId="593F6A5D" w14:textId="77777777" w:rsidTr="0045537D">
        <w:trPr>
          <w:jc w:val="center"/>
        </w:trPr>
        <w:tc>
          <w:tcPr>
            <w:tcW w:w="2501" w:type="dxa"/>
            <w:vMerge/>
            <w:vAlign w:val="center"/>
          </w:tcPr>
          <w:p w14:paraId="6ACF7C11" w14:textId="77777777" w:rsidR="00CD50A7" w:rsidRDefault="00CD50A7" w:rsidP="0045537D">
            <w:pPr>
              <w:rPr>
                <w:rFonts w:asciiTheme="majorHAnsi" w:eastAsia="Times New Roman" w:hAnsiTheme="majorHAnsi" w:cstheme="majorHAnsi"/>
                <w:sz w:val="20"/>
                <w:szCs w:val="20"/>
                <w:lang w:eastAsia="en-AU"/>
              </w:rPr>
            </w:pPr>
          </w:p>
        </w:tc>
        <w:tc>
          <w:tcPr>
            <w:tcW w:w="2397" w:type="dxa"/>
            <w:gridSpan w:val="2"/>
            <w:vMerge/>
            <w:vAlign w:val="center"/>
          </w:tcPr>
          <w:p w14:paraId="34D78FEA" w14:textId="77777777" w:rsidR="00CD50A7" w:rsidRDefault="00CD50A7" w:rsidP="0045537D">
            <w:pPr>
              <w:jc w:val="center"/>
              <w:rPr>
                <w:rFonts w:asciiTheme="majorHAnsi" w:hAnsiTheme="majorHAnsi" w:cstheme="majorHAnsi"/>
                <w:sz w:val="20"/>
                <w:szCs w:val="20"/>
              </w:rPr>
            </w:pPr>
          </w:p>
        </w:tc>
        <w:tc>
          <w:tcPr>
            <w:tcW w:w="2752" w:type="dxa"/>
            <w:vAlign w:val="center"/>
          </w:tcPr>
          <w:p w14:paraId="4CB8C1AC" w14:textId="77777777" w:rsidR="00CD50A7" w:rsidRPr="00C1442D" w:rsidRDefault="00CD50A7" w:rsidP="0045537D">
            <w:pPr>
              <w:contextualSpacing/>
              <w:rPr>
                <w:rFonts w:asciiTheme="majorHAnsi" w:hAnsiTheme="majorHAnsi" w:cstheme="majorHAnsi"/>
                <w:sz w:val="20"/>
                <w:szCs w:val="20"/>
                <w:lang w:val="en-US"/>
              </w:rPr>
            </w:pPr>
            <w:r>
              <w:rPr>
                <w:rFonts w:asciiTheme="majorHAnsi" w:hAnsiTheme="majorHAnsi" w:cstheme="majorHAnsi"/>
                <w:sz w:val="20"/>
                <w:szCs w:val="20"/>
                <w:lang w:val="en-US"/>
              </w:rPr>
              <w:t>Promotion of a</w:t>
            </w:r>
            <w:r w:rsidRPr="00C1442D">
              <w:rPr>
                <w:rFonts w:asciiTheme="majorHAnsi" w:hAnsiTheme="majorHAnsi" w:cstheme="majorHAnsi"/>
                <w:sz w:val="20"/>
                <w:szCs w:val="20"/>
                <w:lang w:val="en-US"/>
              </w:rPr>
              <w:t>ppropriate complementary feeding</w:t>
            </w:r>
            <w:r>
              <w:rPr>
                <w:rFonts w:asciiTheme="majorHAnsi" w:hAnsiTheme="majorHAnsi" w:cstheme="majorHAnsi"/>
                <w:sz w:val="20"/>
                <w:szCs w:val="20"/>
                <w:lang w:val="en-US"/>
              </w:rPr>
              <w:t xml:space="preserve"> r</w:t>
            </w:r>
            <w:r w:rsidRPr="00C1442D">
              <w:rPr>
                <w:rFonts w:asciiTheme="majorHAnsi" w:hAnsiTheme="majorHAnsi" w:cstheme="majorHAnsi"/>
                <w:sz w:val="20"/>
                <w:szCs w:val="20"/>
                <w:lang w:val="en-US"/>
              </w:rPr>
              <w:t>educes odds of stunting</w:t>
            </w:r>
          </w:p>
        </w:tc>
        <w:tc>
          <w:tcPr>
            <w:tcW w:w="6946" w:type="dxa"/>
            <w:vAlign w:val="center"/>
          </w:tcPr>
          <w:p w14:paraId="66EAD021" w14:textId="6E226796" w:rsidR="00CD50A7" w:rsidRPr="00031FAB" w:rsidRDefault="00CD50A7" w:rsidP="0045537D">
            <w:pPr>
              <w:contextualSpacing/>
              <w:rPr>
                <w:rFonts w:asciiTheme="majorHAnsi" w:hAnsiTheme="majorHAnsi" w:cstheme="majorHAnsi"/>
                <w:sz w:val="20"/>
                <w:szCs w:val="20"/>
                <w:lang w:val="en-US"/>
              </w:rPr>
            </w:pPr>
            <w:r w:rsidRPr="00031FAB">
              <w:rPr>
                <w:rFonts w:asciiTheme="majorHAnsi" w:hAnsiTheme="majorHAnsi" w:cstheme="majorHAnsi"/>
                <w:sz w:val="20"/>
                <w:szCs w:val="20"/>
                <w:lang w:val="en-US"/>
              </w:rPr>
              <w:t xml:space="preserve">OR = 0.77 for stunting; </w:t>
            </w:r>
            <w:r>
              <w:rPr>
                <w:rFonts w:asciiTheme="majorHAnsi" w:hAnsiTheme="majorHAnsi" w:cstheme="majorHAnsi"/>
                <w:sz w:val="20"/>
                <w:szCs w:val="20"/>
                <w:lang w:val="en-US"/>
              </w:rPr>
              <w:t>[</w:t>
            </w:r>
            <w:proofErr w:type="spellStart"/>
            <w:r>
              <w:rPr>
                <w:rFonts w:asciiTheme="majorHAnsi" w:hAnsiTheme="majorHAnsi" w:cstheme="majorHAnsi"/>
                <w:sz w:val="20"/>
                <w:szCs w:val="20"/>
                <w:lang w:val="en-US"/>
              </w:rPr>
              <w:t>Panjwani</w:t>
            </w:r>
            <w:proofErr w:type="spellEnd"/>
            <w:r>
              <w:rPr>
                <w:rFonts w:asciiTheme="majorHAnsi" w:hAnsiTheme="majorHAnsi" w:cstheme="majorHAnsi"/>
                <w:sz w:val="20"/>
                <w:szCs w:val="20"/>
                <w:lang w:val="en-US"/>
              </w:rPr>
              <w:t xml:space="preserve"> et al. 2017 J Nutr</w:t>
            </w:r>
            <w:r>
              <w:rPr>
                <w:rFonts w:asciiTheme="majorHAnsi" w:hAnsiTheme="majorHAnsi" w:cstheme="majorHAnsi"/>
                <w:sz w:val="20"/>
                <w:szCs w:val="20"/>
                <w:lang w:val="en-US"/>
              </w:rPr>
              <w:fldChar w:fldCharType="begin" w:fldLock="1"/>
            </w:r>
            <w:r w:rsidR="004533D0">
              <w:rPr>
                <w:rFonts w:asciiTheme="majorHAnsi" w:hAnsiTheme="majorHAnsi" w:cstheme="majorHAnsi"/>
                <w:sz w:val="20"/>
                <w:szCs w:val="20"/>
                <w:lang w:val="en-US"/>
              </w:rPr>
              <w:instrText>ADDIN CSL_CITATION {"citationItems":[{"id":"ITEM-1","itemData":{"DOI":"10.3945/jn.116.243857","ISSN":"15416100","PMID":"28904113","abstract":"Background: World Health Assembly member states have committed to ambitious global targets for reductions in stunting and wasting by 2025. Improving complementary diets of children aged 6-23 mo is a recommended approach for reducing stunting in children &lt; 5 y old. Less is known about the potential of these interventions to prevent wasting. Objective: The aim of this article was to review and synthesize the current literature for the impact of complementary feeding interventions on linear [length-for-age z score (LAZ)] and ponderal [weight-for-length z score (WLZ)] growth of children aged 6-23 mo, with the specific goal of updating intervention-outcome linkages in the Lives Saved Tool (LiST). Methods: We started our review with studies included in the previous LiST review and searched for articles published since January 2012. We identified longitudinal trials that compared children aged 6-23 mo who received 1 of 2 types of complementary feeding interventions (nutrition education or counseling alone or complementary food supplementation with or without nutrition education or counseling) with a no-intervention control. We assessed study quality and generated pooled estimates of LAZ and WLZ change, as well as length and weight gain, for each category of intervention. Results: Interventions that provided nutrition education or counseling had a small but significant impact on linear growth in food-secure populations [LAZ standardized mean difference (SMD): 0.11; 95% CI: 0.01, 0.22] but not on ponderal growth. Complementary food supplementation interventions with or without nutrition education also had a small, significant effect in food-insecure settings on both LAZ (SMD: 0.08; 95% CI: 0.04, 0.13) and WLZ (SMD: 0.05; 95% CI: 0.01, 0.08). Conclusions: Nutrition education and complementary feeding interventions both had a small but significant impact on linear growth, and complementary feeding interventions also had an impact on ponderal growth of children aged 6-23 mo in low- and middle-income countries. The updated LiST model will support nutrition program planning and evaluation efforts by allowing users to model changes in intervention coverage on both stunting and wasting.","author":[{"dropping-particle":"","family":"Panjwani","given":"Anita","non-dropping-particle":"","parse-names":false,"suffix":""},{"dropping-particle":"","family":"Heidkamp","given":"Rebecca","non-dropping-particle":"","parse-names":false,"suffix":""}],"container-title":"Journal of Nutrition","id":"ITEM-1","issued":{"date-parts":[["2017"]]},"title":"Complementary feeding interventions have a small but significant impact on linear and ponderal growth of children in low- and middle-income countries: A systematic review and meta-analysis","type":"article-journal"},"uris":["http://www.mendeley.com/documents/?uuid=7e5090cd-d9d6-4474-a7e7-94903d0a6ba1"]}],"mendeley":{"formattedCitation":"&lt;sup&gt;18&lt;/sup&gt;","plainTextFormattedCitation":"18","previouslyFormattedCitation":"&lt;sup&gt;18&lt;/sup&gt;"},"properties":{"noteIndex":0},"schema":"https://github.com/citation-style-language/schema/raw/master/csl-citation.json"}</w:instrText>
            </w:r>
            <w:r>
              <w:rPr>
                <w:rFonts w:asciiTheme="majorHAnsi" w:hAnsiTheme="majorHAnsi" w:cstheme="majorHAnsi"/>
                <w:sz w:val="20"/>
                <w:szCs w:val="20"/>
                <w:lang w:val="en-US"/>
              </w:rPr>
              <w:fldChar w:fldCharType="separate"/>
            </w:r>
            <w:r w:rsidRPr="00CD50A7">
              <w:rPr>
                <w:rFonts w:asciiTheme="majorHAnsi" w:hAnsiTheme="majorHAnsi" w:cstheme="majorHAnsi"/>
                <w:noProof/>
                <w:sz w:val="20"/>
                <w:szCs w:val="20"/>
                <w:vertAlign w:val="superscript"/>
                <w:lang w:val="en-US"/>
              </w:rPr>
              <w:t>18</w:t>
            </w:r>
            <w:r>
              <w:rPr>
                <w:rFonts w:asciiTheme="majorHAnsi" w:hAnsiTheme="majorHAnsi" w:cstheme="majorHAnsi"/>
                <w:sz w:val="20"/>
                <w:szCs w:val="20"/>
                <w:lang w:val="en-US"/>
              </w:rPr>
              <w:fldChar w:fldCharType="end"/>
            </w:r>
            <w:r>
              <w:rPr>
                <w:rFonts w:asciiTheme="majorHAnsi" w:hAnsiTheme="majorHAnsi" w:cstheme="majorHAnsi"/>
                <w:sz w:val="20"/>
                <w:szCs w:val="20"/>
                <w:lang w:val="en-US"/>
              </w:rPr>
              <w:t xml:space="preserve"> food secure population with nutrition education or counselling compared to receiving no intervention]</w:t>
            </w:r>
          </w:p>
        </w:tc>
      </w:tr>
      <w:tr w:rsidR="00CD50A7" w:rsidRPr="00031FAB" w14:paraId="5BDECC70" w14:textId="77777777" w:rsidTr="0045537D">
        <w:trPr>
          <w:jc w:val="center"/>
        </w:trPr>
        <w:tc>
          <w:tcPr>
            <w:tcW w:w="2501" w:type="dxa"/>
            <w:vAlign w:val="center"/>
          </w:tcPr>
          <w:p w14:paraId="70E04C98" w14:textId="77777777" w:rsidR="00CD50A7" w:rsidRPr="00C1442D" w:rsidRDefault="00CD50A7" w:rsidP="0045537D">
            <w:pPr>
              <w:rPr>
                <w:rFonts w:asciiTheme="majorHAnsi" w:hAnsiTheme="majorHAnsi" w:cstheme="majorHAnsi"/>
                <w:sz w:val="20"/>
                <w:szCs w:val="20"/>
              </w:rPr>
            </w:pPr>
            <w:r>
              <w:rPr>
                <w:rFonts w:asciiTheme="majorHAnsi" w:eastAsia="Times New Roman" w:hAnsiTheme="majorHAnsi" w:cstheme="majorHAnsi"/>
                <w:sz w:val="20"/>
                <w:szCs w:val="20"/>
                <w:lang w:eastAsia="en-AU"/>
              </w:rPr>
              <w:t>N</w:t>
            </w:r>
            <w:r w:rsidRPr="001B6245">
              <w:rPr>
                <w:rFonts w:asciiTheme="majorHAnsi" w:eastAsia="Times New Roman" w:hAnsiTheme="majorHAnsi" w:cstheme="majorHAnsi"/>
                <w:sz w:val="20"/>
                <w:szCs w:val="20"/>
                <w:lang w:eastAsia="en-AU"/>
              </w:rPr>
              <w:t xml:space="preserve">utrition </w:t>
            </w:r>
            <w:proofErr w:type="spellStart"/>
            <w:r w:rsidRPr="001B6245">
              <w:rPr>
                <w:rFonts w:asciiTheme="majorHAnsi" w:eastAsia="Times New Roman" w:hAnsiTheme="majorHAnsi" w:cstheme="majorHAnsi"/>
                <w:sz w:val="20"/>
                <w:szCs w:val="20"/>
                <w:lang w:eastAsia="en-AU"/>
              </w:rPr>
              <w:t>counseling</w:t>
            </w:r>
            <w:proofErr w:type="spellEnd"/>
            <w:r w:rsidRPr="001B6245">
              <w:rPr>
                <w:rFonts w:asciiTheme="majorHAnsi" w:eastAsia="Times New Roman" w:hAnsiTheme="majorHAnsi" w:cstheme="majorHAnsi"/>
                <w:sz w:val="20"/>
                <w:szCs w:val="20"/>
                <w:lang w:eastAsia="en-AU"/>
              </w:rPr>
              <w:t xml:space="preserve"> + provision of different forms of complementary foods in food insecure h</w:t>
            </w:r>
            <w:r>
              <w:rPr>
                <w:rFonts w:asciiTheme="majorHAnsi" w:eastAsia="Times New Roman" w:hAnsiTheme="majorHAnsi" w:cstheme="majorHAnsi"/>
                <w:sz w:val="20"/>
                <w:szCs w:val="20"/>
                <w:lang w:eastAsia="en-AU"/>
              </w:rPr>
              <w:t>ouseholds</w:t>
            </w:r>
          </w:p>
        </w:tc>
        <w:tc>
          <w:tcPr>
            <w:tcW w:w="2397" w:type="dxa"/>
            <w:gridSpan w:val="2"/>
            <w:vAlign w:val="center"/>
          </w:tcPr>
          <w:p w14:paraId="67E7691D" w14:textId="77777777" w:rsidR="00CD50A7" w:rsidRPr="001B6245" w:rsidRDefault="00CD50A7" w:rsidP="0045537D">
            <w:pPr>
              <w:jc w:val="center"/>
              <w:rPr>
                <w:rFonts w:asciiTheme="majorHAnsi" w:hAnsiTheme="majorHAnsi" w:cstheme="majorHAnsi"/>
                <w:sz w:val="20"/>
                <w:szCs w:val="20"/>
              </w:rPr>
            </w:pPr>
            <w:r w:rsidRPr="00C1442D">
              <w:rPr>
                <w:rFonts w:asciiTheme="majorHAnsi" w:hAnsiTheme="majorHAnsi" w:cstheme="majorHAnsi"/>
                <w:sz w:val="20"/>
                <w:szCs w:val="20"/>
              </w:rPr>
              <w:t>Children 6-23 months old</w:t>
            </w:r>
            <w:r>
              <w:rPr>
                <w:rFonts w:asciiTheme="majorHAnsi" w:hAnsiTheme="majorHAnsi" w:cstheme="majorHAnsi"/>
                <w:sz w:val="20"/>
                <w:szCs w:val="20"/>
              </w:rPr>
              <w:t>; below the poverty line.</w:t>
            </w:r>
          </w:p>
        </w:tc>
        <w:tc>
          <w:tcPr>
            <w:tcW w:w="2752" w:type="dxa"/>
            <w:vAlign w:val="center"/>
          </w:tcPr>
          <w:p w14:paraId="33B86E27" w14:textId="77777777" w:rsidR="00CD50A7" w:rsidRPr="00C1442D" w:rsidRDefault="00CD50A7" w:rsidP="0045537D">
            <w:pPr>
              <w:rPr>
                <w:rFonts w:asciiTheme="majorHAnsi" w:hAnsiTheme="majorHAnsi" w:cstheme="majorHAnsi"/>
                <w:sz w:val="20"/>
                <w:szCs w:val="20"/>
              </w:rPr>
            </w:pPr>
            <w:r w:rsidRPr="00C1442D">
              <w:rPr>
                <w:rFonts w:asciiTheme="majorHAnsi" w:hAnsiTheme="majorHAnsi" w:cstheme="majorHAnsi"/>
                <w:sz w:val="20"/>
                <w:szCs w:val="20"/>
              </w:rPr>
              <w:t xml:space="preserve">Reduces the odds of stunting </w:t>
            </w:r>
          </w:p>
          <w:p w14:paraId="4566A83B" w14:textId="77777777" w:rsidR="00CD50A7" w:rsidRPr="00C1442D" w:rsidRDefault="00CD50A7" w:rsidP="0045537D">
            <w:pPr>
              <w:rPr>
                <w:rFonts w:asciiTheme="majorHAnsi" w:hAnsiTheme="majorHAnsi" w:cstheme="majorHAnsi"/>
                <w:sz w:val="20"/>
                <w:szCs w:val="20"/>
              </w:rPr>
            </w:pPr>
            <w:r w:rsidRPr="00C1442D">
              <w:rPr>
                <w:rFonts w:asciiTheme="majorHAnsi" w:hAnsiTheme="majorHAnsi" w:cstheme="majorHAnsi"/>
                <w:sz w:val="20"/>
                <w:szCs w:val="20"/>
              </w:rPr>
              <w:t xml:space="preserve">Reduces the incidence of SAM </w:t>
            </w:r>
          </w:p>
          <w:p w14:paraId="0E50C604" w14:textId="77777777" w:rsidR="00CD50A7" w:rsidRPr="00C1442D" w:rsidRDefault="00CD50A7" w:rsidP="0045537D">
            <w:pPr>
              <w:rPr>
                <w:rFonts w:asciiTheme="majorHAnsi" w:hAnsiTheme="majorHAnsi" w:cstheme="majorHAnsi"/>
                <w:sz w:val="20"/>
                <w:szCs w:val="20"/>
              </w:rPr>
            </w:pPr>
            <w:r>
              <w:rPr>
                <w:rFonts w:asciiTheme="majorHAnsi" w:hAnsiTheme="majorHAnsi" w:cstheme="majorHAnsi"/>
                <w:sz w:val="20"/>
                <w:szCs w:val="20"/>
              </w:rPr>
              <w:t xml:space="preserve">Reduces the incidence of MAM </w:t>
            </w:r>
          </w:p>
        </w:tc>
        <w:tc>
          <w:tcPr>
            <w:tcW w:w="6946" w:type="dxa"/>
            <w:vAlign w:val="center"/>
          </w:tcPr>
          <w:p w14:paraId="7FFB043E" w14:textId="7699213C" w:rsidR="00CD50A7" w:rsidRPr="00031FAB" w:rsidRDefault="00CD50A7" w:rsidP="0045537D">
            <w:pPr>
              <w:rPr>
                <w:rFonts w:asciiTheme="majorHAnsi" w:hAnsiTheme="majorHAnsi" w:cstheme="majorHAnsi"/>
                <w:sz w:val="20"/>
                <w:szCs w:val="20"/>
              </w:rPr>
            </w:pPr>
            <w:r w:rsidRPr="00031FAB">
              <w:rPr>
                <w:rFonts w:asciiTheme="majorHAnsi" w:hAnsiTheme="majorHAnsi" w:cstheme="majorHAnsi"/>
                <w:sz w:val="20"/>
                <w:szCs w:val="20"/>
              </w:rPr>
              <w:t xml:space="preserve">OR = 0.89 for stunting </w:t>
            </w:r>
            <w:r w:rsidR="004533D0">
              <w:rPr>
                <w:rFonts w:asciiTheme="majorHAnsi" w:hAnsiTheme="majorHAnsi" w:cstheme="majorHAnsi"/>
                <w:sz w:val="20"/>
                <w:szCs w:val="20"/>
              </w:rPr>
              <w:t>[</w:t>
            </w:r>
            <w:proofErr w:type="spellStart"/>
            <w:r w:rsidR="004533D0">
              <w:rPr>
                <w:rFonts w:asciiTheme="majorHAnsi" w:hAnsiTheme="majorHAnsi" w:cstheme="majorHAnsi"/>
                <w:sz w:val="20"/>
                <w:szCs w:val="20"/>
              </w:rPr>
              <w:t>Panjwani</w:t>
            </w:r>
            <w:proofErr w:type="spellEnd"/>
            <w:r w:rsidR="004533D0">
              <w:rPr>
                <w:rFonts w:asciiTheme="majorHAnsi" w:hAnsiTheme="majorHAnsi" w:cstheme="majorHAnsi"/>
                <w:sz w:val="20"/>
                <w:szCs w:val="20"/>
              </w:rPr>
              <w:t xml:space="preserve"> et al. 2017 J Nutr</w:t>
            </w:r>
            <w:r w:rsidR="004533D0">
              <w:rPr>
                <w:rFonts w:asciiTheme="majorHAnsi" w:hAnsiTheme="majorHAnsi" w:cstheme="majorHAnsi"/>
                <w:sz w:val="20"/>
                <w:szCs w:val="20"/>
              </w:rPr>
              <w:fldChar w:fldCharType="begin" w:fldLock="1"/>
            </w:r>
            <w:r w:rsidR="004533D0">
              <w:rPr>
                <w:rFonts w:asciiTheme="majorHAnsi" w:hAnsiTheme="majorHAnsi" w:cstheme="majorHAnsi"/>
                <w:sz w:val="20"/>
                <w:szCs w:val="20"/>
              </w:rPr>
              <w:instrText>ADDIN CSL_CITATION {"citationItems":[{"id":"ITEM-1","itemData":{"DOI":"10.3945/jn.116.243857","ISSN":"15416100","PMID":"28904113","abstract":"Background: World Health Assembly member states have committed to ambitious global targets for reductions in stunting and wasting by 2025. Improving complementary diets of children aged 6-23 mo is a recommended approach for reducing stunting in children &lt; 5 y old. Less is known about the potential of these interventions to prevent wasting. Objective: The aim of this article was to review and synthesize the current literature for the impact of complementary feeding interventions on linear [length-for-age z score (LAZ)] and ponderal [weight-for-length z score (WLZ)] growth of children aged 6-23 mo, with the specific goal of updating intervention-outcome linkages in the Lives Saved Tool (LiST). Methods: We started our review with studies included in the previous LiST review and searched for articles published since January 2012. We identified longitudinal trials that compared children aged 6-23 mo who received 1 of 2 types of complementary feeding interventions (nutrition education or counseling alone or complementary food supplementation with or without nutrition education or counseling) with a no-intervention control. We assessed study quality and generated pooled estimates of LAZ and WLZ change, as well as length and weight gain, for each category of intervention. Results: Interventions that provided nutrition education or counseling had a small but significant impact on linear growth in food-secure populations [LAZ standardized mean difference (SMD): 0.11; 95% CI: 0.01, 0.22] but not on ponderal growth. Complementary food supplementation interventions with or without nutrition education also had a small, significant effect in food-insecure settings on both LAZ (SMD: 0.08; 95% CI: 0.04, 0.13) and WLZ (SMD: 0.05; 95% CI: 0.01, 0.08). Conclusions: Nutrition education and complementary feeding interventions both had a small but significant impact on linear growth, and complementary feeding interventions also had an impact on ponderal growth of children aged 6-23 mo in low- and middle-income countries. The updated LiST model will support nutrition program planning and evaluation efforts by allowing users to model changes in intervention coverage on both stunting and wasting.","author":[{"dropping-particle":"","family":"Panjwani","given":"Anita","non-dropping-particle":"","parse-names":false,"suffix":""},{"dropping-particle":"","family":"Heidkamp","given":"Rebecca","non-dropping-particle":"","parse-names":false,"suffix":""}],"container-title":"Journal of Nutrition","id":"ITEM-1","issued":{"date-parts":[["2017"]]},"title":"Complementary feeding interventions have a small but significant impact on linear and ponderal growth of children in low- and middle-income countries: A systematic review and meta-analysis","type":"article-journal"},"uris":["http://www.mendeley.com/documents/?uuid=7e5090cd-d9d6-4474-a7e7-94903d0a6ba1"]}],"mendeley":{"formattedCitation":"&lt;sup&gt;18&lt;/sup&gt;","plainTextFormattedCitation":"18","previouslyFormattedCitation":"&lt;sup&gt;18&lt;/sup&gt;"},"properties":{"noteIndex":0},"schema":"https://github.com/citation-style-language/schema/raw/master/csl-citation.json"}</w:instrText>
            </w:r>
            <w:r w:rsidR="004533D0">
              <w:rPr>
                <w:rFonts w:asciiTheme="majorHAnsi" w:hAnsiTheme="majorHAnsi" w:cstheme="majorHAnsi"/>
                <w:sz w:val="20"/>
                <w:szCs w:val="20"/>
              </w:rPr>
              <w:fldChar w:fldCharType="separate"/>
            </w:r>
            <w:r w:rsidR="004533D0" w:rsidRPr="004533D0">
              <w:rPr>
                <w:rFonts w:asciiTheme="majorHAnsi" w:hAnsiTheme="majorHAnsi" w:cstheme="majorHAnsi"/>
                <w:noProof/>
                <w:sz w:val="20"/>
                <w:szCs w:val="20"/>
                <w:vertAlign w:val="superscript"/>
              </w:rPr>
              <w:t>18</w:t>
            </w:r>
            <w:r w:rsidR="004533D0">
              <w:rPr>
                <w:rFonts w:asciiTheme="majorHAnsi" w:hAnsiTheme="majorHAnsi" w:cstheme="majorHAnsi"/>
                <w:sz w:val="20"/>
                <w:szCs w:val="20"/>
              </w:rPr>
              <w:fldChar w:fldCharType="end"/>
            </w:r>
            <w:r w:rsidR="004533D0">
              <w:rPr>
                <w:rFonts w:asciiTheme="majorHAnsi" w:hAnsiTheme="majorHAnsi" w:cstheme="majorHAnsi"/>
                <w:sz w:val="20"/>
                <w:szCs w:val="20"/>
              </w:rPr>
              <w:t xml:space="preserve"> food insecure with supplementation compared to no supplementation]</w:t>
            </w:r>
            <w:r w:rsidR="004533D0" w:rsidRPr="00031FAB">
              <w:rPr>
                <w:rFonts w:asciiTheme="majorHAnsi" w:hAnsiTheme="majorHAnsi" w:cstheme="majorHAnsi"/>
                <w:sz w:val="20"/>
                <w:szCs w:val="20"/>
              </w:rPr>
              <w:t xml:space="preserve"> </w:t>
            </w:r>
            <w:r w:rsidR="004533D0">
              <w:rPr>
                <w:rFonts w:asciiTheme="majorHAnsi" w:hAnsiTheme="majorHAnsi" w:cstheme="majorHAnsi"/>
                <w:sz w:val="20"/>
                <w:szCs w:val="20"/>
              </w:rPr>
              <w:br/>
            </w:r>
            <w:r w:rsidRPr="00031FAB">
              <w:rPr>
                <w:rFonts w:asciiTheme="majorHAnsi" w:hAnsiTheme="majorHAnsi" w:cstheme="majorHAnsi"/>
                <w:sz w:val="20"/>
                <w:szCs w:val="20"/>
              </w:rPr>
              <w:t xml:space="preserve">RRR = 0.915 for SAM and MAM </w:t>
            </w:r>
            <w:r>
              <w:rPr>
                <w:rFonts w:asciiTheme="majorHAnsi" w:hAnsiTheme="majorHAnsi" w:cstheme="majorHAnsi"/>
                <w:sz w:val="20"/>
                <w:szCs w:val="20"/>
              </w:rPr>
              <w:t>prevalence</w:t>
            </w:r>
            <w:r w:rsidRPr="00031FAB">
              <w:rPr>
                <w:rFonts w:asciiTheme="majorHAnsi" w:hAnsiTheme="majorHAnsi" w:cstheme="majorHAnsi"/>
                <w:sz w:val="20"/>
                <w:szCs w:val="20"/>
              </w:rPr>
              <w:t xml:space="preserve"> </w:t>
            </w:r>
            <w:r w:rsidR="004533D0" w:rsidRPr="004533D0">
              <w:rPr>
                <w:rFonts w:asciiTheme="majorHAnsi" w:hAnsiTheme="majorHAnsi" w:cstheme="majorHAnsi"/>
                <w:sz w:val="20"/>
                <w:szCs w:val="20"/>
              </w:rPr>
              <w:t xml:space="preserve">[based on </w:t>
            </w:r>
            <w:proofErr w:type="spellStart"/>
            <w:r w:rsidR="004533D0" w:rsidRPr="004533D0">
              <w:rPr>
                <w:rFonts w:asciiTheme="majorHAnsi" w:hAnsiTheme="majorHAnsi" w:cstheme="majorHAnsi"/>
                <w:sz w:val="20"/>
                <w:szCs w:val="20"/>
              </w:rPr>
              <w:t>Panjwani</w:t>
            </w:r>
            <w:proofErr w:type="spellEnd"/>
            <w:r w:rsidR="004533D0" w:rsidRPr="004533D0">
              <w:rPr>
                <w:rFonts w:asciiTheme="majorHAnsi" w:hAnsiTheme="majorHAnsi" w:cstheme="majorHAnsi"/>
                <w:sz w:val="20"/>
                <w:szCs w:val="20"/>
              </w:rPr>
              <w:t xml:space="preserve"> et al. 2017 J Nutr</w:t>
            </w:r>
            <w:r w:rsidR="004533D0">
              <w:rPr>
                <w:rFonts w:asciiTheme="majorHAnsi" w:hAnsiTheme="majorHAnsi" w:cstheme="majorHAnsi"/>
                <w:sz w:val="20"/>
                <w:szCs w:val="20"/>
              </w:rPr>
              <w:fldChar w:fldCharType="begin" w:fldLock="1"/>
            </w:r>
            <w:r w:rsidR="004533D0">
              <w:rPr>
                <w:rFonts w:asciiTheme="majorHAnsi" w:hAnsiTheme="majorHAnsi" w:cstheme="majorHAnsi"/>
                <w:sz w:val="20"/>
                <w:szCs w:val="20"/>
              </w:rPr>
              <w:instrText>ADDIN CSL_CITATION {"citationItems":[{"id":"ITEM-1","itemData":{"DOI":"10.3945/jn.116.243857","ISSN":"15416100","PMID":"28904113","abstract":"Background: World Health Assembly member states have committed to ambitious global targets for reductions in stunting and wasting by 2025. Improving complementary diets of children aged 6-23 mo is a recommended approach for reducing stunting in children &lt; 5 y old. Less is known about the potential of these interventions to prevent wasting. Objective: The aim of this article was to review and synthesize the current literature for the impact of complementary feeding interventions on linear [length-for-age z score (LAZ)] and ponderal [weight-for-length z score (WLZ)] growth of children aged 6-23 mo, with the specific goal of updating intervention-outcome linkages in the Lives Saved Tool (LiST). Methods: We started our review with studies included in the previous LiST review and searched for articles published since January 2012. We identified longitudinal trials that compared children aged 6-23 mo who received 1 of 2 types of complementary feeding interventions (nutrition education or counseling alone or complementary food supplementation with or without nutrition education or counseling) with a no-intervention control. We assessed study quality and generated pooled estimates of LAZ and WLZ change, as well as length and weight gain, for each category of intervention. Results: Interventions that provided nutrition education or counseling had a small but significant impact on linear growth in food-secure populations [LAZ standardized mean difference (SMD): 0.11; 95% CI: 0.01, 0.22] but not on ponderal growth. Complementary food supplementation interventions with or without nutrition education also had a small, significant effect in food-insecure settings on both LAZ (SMD: 0.08; 95% CI: 0.04, 0.13) and WLZ (SMD: 0.05; 95% CI: 0.01, 0.08). Conclusions: Nutrition education and complementary feeding interventions both had a small but significant impact on linear growth, and complementary feeding interventions also had an impact on ponderal growth of children aged 6-23 mo in low- and middle-income countries. The updated LiST model will support nutrition program planning and evaluation efforts by allowing users to model changes in intervention coverage on both stunting and wasting.","author":[{"dropping-particle":"","family":"Panjwani","given":"Anita","non-dropping-particle":"","parse-names":false,"suffix":""},{"dropping-particle":"","family":"Heidkamp","given":"Rebecca","non-dropping-particle":"","parse-names":false,"suffix":""}],"container-title":"Journal of Nutrition","id":"ITEM-1","issued":{"date-parts":[["2017"]]},"title":"Complementary feeding interventions have a small but significant impact on linear and ponderal growth of children in low- and middle-income countries: A systematic review and meta-analysis","type":"article-journal"},"uris":["http://www.mendeley.com/documents/?uuid=7e5090cd-d9d6-4474-a7e7-94903d0a6ba1"]}],"mendeley":{"formattedCitation":"&lt;sup&gt;18&lt;/sup&gt;","plainTextFormattedCitation":"18","previouslyFormattedCitation":"&lt;sup&gt;18&lt;/sup&gt;"},"properties":{"noteIndex":0},"schema":"https://github.com/citation-style-language/schema/raw/master/csl-citation.json"}</w:instrText>
            </w:r>
            <w:r w:rsidR="004533D0">
              <w:rPr>
                <w:rFonts w:asciiTheme="majorHAnsi" w:hAnsiTheme="majorHAnsi" w:cstheme="majorHAnsi"/>
                <w:sz w:val="20"/>
                <w:szCs w:val="20"/>
              </w:rPr>
              <w:fldChar w:fldCharType="separate"/>
            </w:r>
            <w:r w:rsidR="004533D0" w:rsidRPr="004533D0">
              <w:rPr>
                <w:rFonts w:asciiTheme="majorHAnsi" w:hAnsiTheme="majorHAnsi" w:cstheme="majorHAnsi"/>
                <w:noProof/>
                <w:sz w:val="20"/>
                <w:szCs w:val="20"/>
                <w:vertAlign w:val="superscript"/>
              </w:rPr>
              <w:t>18</w:t>
            </w:r>
            <w:r w:rsidR="004533D0">
              <w:rPr>
                <w:rFonts w:asciiTheme="majorHAnsi" w:hAnsiTheme="majorHAnsi" w:cstheme="majorHAnsi"/>
                <w:sz w:val="20"/>
                <w:szCs w:val="20"/>
              </w:rPr>
              <w:fldChar w:fldCharType="end"/>
            </w:r>
            <w:r w:rsidR="004533D0" w:rsidRPr="004533D0">
              <w:rPr>
                <w:rFonts w:asciiTheme="majorHAnsi" w:hAnsiTheme="majorHAnsi" w:cstheme="majorHAnsi"/>
                <w:sz w:val="20"/>
                <w:szCs w:val="20"/>
              </w:rPr>
              <w:t xml:space="preserve"> food insecure with supplementation compared to no supplementation]</w:t>
            </w:r>
          </w:p>
        </w:tc>
      </w:tr>
      <w:tr w:rsidR="00CD50A7" w:rsidRPr="00031FAB" w14:paraId="7ACEAA7C" w14:textId="77777777" w:rsidTr="0045537D">
        <w:trPr>
          <w:jc w:val="center"/>
        </w:trPr>
        <w:tc>
          <w:tcPr>
            <w:tcW w:w="2501" w:type="dxa"/>
            <w:vAlign w:val="center"/>
          </w:tcPr>
          <w:p w14:paraId="0D55BFBB" w14:textId="77777777" w:rsidR="00CD50A7" w:rsidRPr="00C1442D" w:rsidRDefault="00CD50A7" w:rsidP="0045537D">
            <w:pPr>
              <w:rPr>
                <w:rFonts w:asciiTheme="majorHAnsi" w:hAnsiTheme="majorHAnsi" w:cstheme="majorHAnsi"/>
                <w:sz w:val="20"/>
                <w:szCs w:val="20"/>
              </w:rPr>
            </w:pPr>
            <w:r w:rsidRPr="00C1442D">
              <w:rPr>
                <w:rFonts w:asciiTheme="majorHAnsi" w:eastAsia="Times New Roman" w:hAnsiTheme="majorHAnsi" w:cstheme="majorHAnsi"/>
                <w:sz w:val="20"/>
                <w:szCs w:val="20"/>
                <w:lang w:eastAsia="en-AU"/>
              </w:rPr>
              <w:t xml:space="preserve">Treatment of severe acute malnutrition </w:t>
            </w:r>
            <w:r>
              <w:rPr>
                <w:rFonts w:asciiTheme="majorHAnsi" w:eastAsia="Times New Roman" w:hAnsiTheme="majorHAnsi" w:cstheme="majorHAnsi"/>
                <w:sz w:val="20"/>
                <w:szCs w:val="20"/>
                <w:lang w:eastAsia="en-AU"/>
              </w:rPr>
              <w:t>(</w:t>
            </w:r>
            <w:r w:rsidRPr="00C1442D">
              <w:rPr>
                <w:rFonts w:asciiTheme="majorHAnsi" w:eastAsia="Times New Roman" w:hAnsiTheme="majorHAnsi" w:cstheme="majorHAnsi"/>
                <w:sz w:val="20"/>
                <w:szCs w:val="20"/>
                <w:lang w:eastAsia="en-AU"/>
              </w:rPr>
              <w:t>SAM)</w:t>
            </w:r>
          </w:p>
        </w:tc>
        <w:tc>
          <w:tcPr>
            <w:tcW w:w="2397" w:type="dxa"/>
            <w:gridSpan w:val="2"/>
            <w:vAlign w:val="center"/>
          </w:tcPr>
          <w:p w14:paraId="2DA910A6" w14:textId="77777777" w:rsidR="00CD50A7" w:rsidRPr="00C1442D" w:rsidRDefault="00CD50A7" w:rsidP="0045537D">
            <w:pPr>
              <w:jc w:val="center"/>
              <w:rPr>
                <w:rFonts w:asciiTheme="majorHAnsi" w:eastAsia="Times New Roman" w:hAnsiTheme="majorHAnsi" w:cstheme="majorHAnsi"/>
                <w:sz w:val="20"/>
                <w:szCs w:val="20"/>
                <w:lang w:eastAsia="en-AU"/>
              </w:rPr>
            </w:pPr>
            <w:r w:rsidRPr="00C1442D">
              <w:rPr>
                <w:rFonts w:asciiTheme="majorHAnsi" w:eastAsia="Times New Roman" w:hAnsiTheme="majorHAnsi" w:cstheme="majorHAnsi"/>
                <w:sz w:val="20"/>
                <w:szCs w:val="20"/>
                <w:lang w:eastAsia="en-AU"/>
              </w:rPr>
              <w:t>Children experiencing SAM</w:t>
            </w:r>
          </w:p>
        </w:tc>
        <w:tc>
          <w:tcPr>
            <w:tcW w:w="2752" w:type="dxa"/>
            <w:vAlign w:val="center"/>
          </w:tcPr>
          <w:p w14:paraId="49F06E1F" w14:textId="77777777" w:rsidR="00CD50A7" w:rsidRPr="00C1442D" w:rsidRDefault="00CD50A7" w:rsidP="0045537D">
            <w:pPr>
              <w:rPr>
                <w:rFonts w:asciiTheme="majorHAnsi" w:hAnsiTheme="majorHAnsi" w:cstheme="majorHAnsi"/>
                <w:sz w:val="20"/>
                <w:szCs w:val="20"/>
              </w:rPr>
            </w:pPr>
            <w:r w:rsidRPr="00C1442D">
              <w:rPr>
                <w:rFonts w:asciiTheme="majorHAnsi" w:hAnsiTheme="majorHAnsi" w:cstheme="majorHAnsi"/>
                <w:sz w:val="20"/>
                <w:szCs w:val="20"/>
              </w:rPr>
              <w:t>Increases recovery from episode</w:t>
            </w:r>
          </w:p>
        </w:tc>
        <w:tc>
          <w:tcPr>
            <w:tcW w:w="6946" w:type="dxa"/>
            <w:vAlign w:val="center"/>
          </w:tcPr>
          <w:p w14:paraId="27BD6F7C" w14:textId="08C63B9A" w:rsidR="00CD50A7" w:rsidRDefault="00CD50A7" w:rsidP="0045537D">
            <w:pPr>
              <w:rPr>
                <w:rFonts w:asciiTheme="majorHAnsi" w:hAnsiTheme="majorHAnsi" w:cstheme="majorHAnsi"/>
                <w:sz w:val="20"/>
                <w:szCs w:val="20"/>
              </w:rPr>
            </w:pPr>
            <w:r>
              <w:rPr>
                <w:rFonts w:asciiTheme="majorHAnsi" w:hAnsiTheme="majorHAnsi" w:cstheme="majorHAnsi"/>
                <w:sz w:val="20"/>
                <w:szCs w:val="20"/>
              </w:rPr>
              <w:t>78%</w:t>
            </w:r>
            <w:r w:rsidRPr="00031FAB">
              <w:rPr>
                <w:rFonts w:asciiTheme="majorHAnsi" w:hAnsiTheme="majorHAnsi" w:cstheme="majorHAnsi"/>
                <w:sz w:val="20"/>
                <w:szCs w:val="20"/>
              </w:rPr>
              <w:t xml:space="preserve"> </w:t>
            </w:r>
            <w:r>
              <w:rPr>
                <w:rFonts w:asciiTheme="majorHAnsi" w:hAnsiTheme="majorHAnsi" w:cstheme="majorHAnsi"/>
                <w:sz w:val="20"/>
                <w:szCs w:val="20"/>
              </w:rPr>
              <w:t xml:space="preserve">recovery from SAM </w:t>
            </w:r>
            <w:r w:rsidRPr="00031FAB">
              <w:rPr>
                <w:rFonts w:asciiTheme="majorHAnsi" w:hAnsiTheme="majorHAnsi" w:cstheme="majorHAnsi"/>
                <w:sz w:val="20"/>
                <w:szCs w:val="20"/>
              </w:rPr>
              <w:t xml:space="preserve">for children receiving intervention </w:t>
            </w:r>
            <w:r w:rsidR="004533D0" w:rsidRPr="004533D0">
              <w:rPr>
                <w:rFonts w:asciiTheme="majorHAnsi" w:hAnsiTheme="majorHAnsi" w:cstheme="majorHAnsi"/>
                <w:sz w:val="20"/>
                <w:szCs w:val="20"/>
              </w:rPr>
              <w:t>[Bhutta et al. 2013</w:t>
            </w:r>
            <w:r w:rsidR="004533D0">
              <w:rPr>
                <w:rFonts w:asciiTheme="majorHAnsi" w:hAnsiTheme="majorHAnsi" w:cstheme="majorHAnsi"/>
                <w:sz w:val="20"/>
                <w:szCs w:val="20"/>
              </w:rPr>
              <w:fldChar w:fldCharType="begin" w:fldLock="1"/>
            </w:r>
            <w:r w:rsidR="004533D0">
              <w:rPr>
                <w:rFonts w:asciiTheme="majorHAnsi" w:hAnsiTheme="majorHAnsi" w:cstheme="majorHAnsi"/>
                <w:sz w:val="20"/>
                <w:szCs w:val="20"/>
              </w:rPr>
              <w:instrText>ADDIN CSL_CITATION {"citationItems":[{"id":"ITEM-1","itemData":{"DOI":"10.1016/S0140-6736(13)60996-4","ISSN":"1474547X","PMID":"23746776","abstract":"Maternal undernutrition contributes to 800000 neonatal deaths annually through small for gestational age births; stunting, wasting, and micronutrient deficiencies are estimated to underlie nearly 3·1 million child deaths annually. Progress has been made with many interventions implemented at scale and the evidence for effectiveness of nutrition interventions and delivery strategies has grown since The Lancet Series on Maternal and Child Undernutrition in 2008. We did a comprehensive update of interventions to address undernutrition and micronutrient deficiencies in women and children and used standard methods to assess emerging new evidence for delivery platforms. We modelled the effect on lives saved and cost of these interventions in the 34 countries that have 90% of the world's children with stunted growth. We also examined the effect of various delivery platforms and delivery options using community health workers to engage poor populations and promote behaviour change, access and uptake of interventions. Our analysis suggests the current total of deaths in children younger than 5 years can be reduced by 15% if populations can access ten evidence-based nutrition interventions at 90% coverage. Additionally, access to and uptake of iodised salt can alleviate iodine deficiency and improve health outcomes. Accelerated gains are possible and about a fifth of the existing burden of stunting can be averted using these approaches, if access is improved in this way. The estimated total additional annual cost involved for scaling up access to these ten direct nutrition interventions in the 34 focus countries is Int$9·6 billion per year. Continued investments in nutrition-specific interventions to avert maternal and child undernutrition and micronutrient deficiencies through community engagement and delivery strategies that can reach poor segments of the population at greatest risk can make a great difference. If this improved access is linked to nutrition-sensitive approaches - ie, women's empowerment, agriculture, food systems, education, employment, social protection, and safety nets - they can greatly accelerate progress in countries with the highest burden of maternal and child undernutrition and mortality. © 2013 Elsevier Ltd.","author":[{"dropping-particle":"","family":"Bhutta","given":"Zulfiqar A.","non-dropping-particle":"","parse-names":false,"suffix":""},{"dropping-particle":"","family":"Das","given":"Jai K.","non-dropping-particle":"","parse-names":false,"suffix":""},{"dropping-particle":"","family":"Rizvi","given":"Arjumand","non-dropping-particle":"","parse-names":false,"suffix":""},{"dropping-particle":"","family":"Gaffey","given":"Michelle F.","non-dropping-particle":"","parse-names":false,"suffix":""},{"dropping-particle":"","family":"Walker","given":"Neff","non-dropping-particle":"","parse-names":false,"suffix":""},{"dropping-particle":"","family":"Horton","given":"Susan","non-dropping-particle":"","parse-names":false,"suffix":""},{"dropping-particle":"","family":"Webb","given":"Patrick","non-dropping-particle":"","parse-names":false,"suffix":""},{"dropping-particle":"","family":"Lartey","given":"Anna","non-dropping-particle":"","parse-names":false,"suffix":""},{"dropping-particle":"","family":"Black","given":"Robert E.","non-dropping-particle":"","parse-names":false,"suffix":""}],"container-title":"The Lancet","id":"ITEM-1","issued":{"date-parts":[["2013"]]},"title":"Evidence-based interventions for improvement of maternal and child nutrition: What can be done and at what cost?","type":"article"},"uris":["http://www.mendeley.com/documents/?uuid=0dafd572-8289-42e2-8fe5-98452398dced"]}],"mendeley":{"formattedCitation":"&lt;sup&gt;19&lt;/sup&gt;","plainTextFormattedCitation":"19","previouslyFormattedCitation":"&lt;sup&gt;19&lt;/sup&gt;"},"properties":{"noteIndex":0},"schema":"https://github.com/citation-style-language/schema/raw/master/csl-citation.json"}</w:instrText>
            </w:r>
            <w:r w:rsidR="004533D0">
              <w:rPr>
                <w:rFonts w:asciiTheme="majorHAnsi" w:hAnsiTheme="majorHAnsi" w:cstheme="majorHAnsi"/>
                <w:sz w:val="20"/>
                <w:szCs w:val="20"/>
              </w:rPr>
              <w:fldChar w:fldCharType="separate"/>
            </w:r>
            <w:r w:rsidR="004533D0" w:rsidRPr="004533D0">
              <w:rPr>
                <w:rFonts w:asciiTheme="majorHAnsi" w:hAnsiTheme="majorHAnsi" w:cstheme="majorHAnsi"/>
                <w:noProof/>
                <w:sz w:val="20"/>
                <w:szCs w:val="20"/>
                <w:vertAlign w:val="superscript"/>
              </w:rPr>
              <w:t>19</w:t>
            </w:r>
            <w:r w:rsidR="004533D0">
              <w:rPr>
                <w:rFonts w:asciiTheme="majorHAnsi" w:hAnsiTheme="majorHAnsi" w:cstheme="majorHAnsi"/>
                <w:sz w:val="20"/>
                <w:szCs w:val="20"/>
              </w:rPr>
              <w:fldChar w:fldCharType="end"/>
            </w:r>
            <w:r w:rsidR="004533D0" w:rsidRPr="004533D0">
              <w:rPr>
                <w:rFonts w:asciiTheme="majorHAnsi" w:hAnsiTheme="majorHAnsi" w:cstheme="majorHAnsi"/>
                <w:sz w:val="20"/>
                <w:szCs w:val="20"/>
              </w:rPr>
              <w:t xml:space="preserve">, </w:t>
            </w:r>
            <w:proofErr w:type="spellStart"/>
            <w:r w:rsidR="004533D0" w:rsidRPr="004533D0">
              <w:rPr>
                <w:rFonts w:asciiTheme="majorHAnsi" w:hAnsiTheme="majorHAnsi" w:cstheme="majorHAnsi"/>
                <w:sz w:val="20"/>
                <w:szCs w:val="20"/>
              </w:rPr>
              <w:t>Lenters</w:t>
            </w:r>
            <w:proofErr w:type="spellEnd"/>
            <w:r w:rsidR="004533D0" w:rsidRPr="004533D0">
              <w:rPr>
                <w:rFonts w:asciiTheme="majorHAnsi" w:hAnsiTheme="majorHAnsi" w:cstheme="majorHAnsi"/>
                <w:sz w:val="20"/>
                <w:szCs w:val="20"/>
              </w:rPr>
              <w:t xml:space="preserve"> et al. 2013</w:t>
            </w:r>
            <w:r w:rsidR="004533D0">
              <w:rPr>
                <w:rFonts w:asciiTheme="majorHAnsi" w:hAnsiTheme="majorHAnsi" w:cstheme="majorHAnsi"/>
                <w:sz w:val="20"/>
                <w:szCs w:val="20"/>
              </w:rPr>
              <w:fldChar w:fldCharType="begin" w:fldLock="1"/>
            </w:r>
            <w:r w:rsidR="004533D0">
              <w:rPr>
                <w:rFonts w:asciiTheme="majorHAnsi" w:hAnsiTheme="majorHAnsi" w:cstheme="majorHAnsi"/>
                <w:sz w:val="20"/>
                <w:szCs w:val="20"/>
              </w:rPr>
              <w:instrText>ADDIN CSL_CITATION {"citationItems":[{"id":"ITEM-1","itemData":{"DOI":"10.1186/1471-2458-13-S3-S23","ISSN":"14712458","PMID":"24564235","abstract":"Background: Globally, moderate acute malnutrition (MAM) and severe acute malnutrition (SAM) affect approximately 52 million children under five. This systematic review evaluates the effectiveness of interventions for SAM including the World Health Organization (WHO) protocol for inpatient management and community-based management with ready-to-use-therapeutic food (RUTF), as well as interventions for MAM in children under five years in low- and middle-income countries. Methods. We systematically searched the literature and included 14 studies in the meta-analysis. Study quality was assessed using CHERG adaptation of GRADE criteria. A Delphi process was undertaken to complement the systematic review in estimating case fatality and recovery rates that were necessary for modelling in the Lives Saved Tool (LiST). Results: Case fatality rates for inpatient treatment of SAM using the WHO protocol ranged from 3.4% to 35%. For community-based treatment of SAM, children given RUTF were 51% more likely to achieve nutritional recovery than the standard care group. For the treatment of MAM, children in the RUSF group were significantly more likely to recover and less likely to be non-responders than in the CSB group. In both meta-analyses, weight gain in the intervention group was higher, and although statistically significant, these differences were small. Overall limitations in our analysis include considerable heterogeneity in many outcomes and an inability to evaluate intervention effects separate from commodity effect. The Delphi process indicated that adherence to standardized protocols for the treatment of SAM and MAM should have a marked positive impact on mortality and recovery rates; yet, true consensus was not achieved. Conclusions: Gaps in our ability to estimate effectiveness of overall treatment approaches for SAM and MAM persist. In addition to further impact studies conducted in a wider range of settings, more high quality program evaluations need to be conducted and the results disseminated. © 2013Lenters et al; licensee BioMed Central Ltd.","author":[{"dropping-particle":"","family":"Lenters","given":"Lindsey M.","non-dropping-particle":"","parse-names":false,"suffix":""},{"dropping-particle":"","family":"Wazny","given":"Kerri","non-dropping-particle":"","parse-names":false,"suffix":""},{"dropping-particle":"","family":"Webb","given":"Patrick","non-dropping-particle":"","parse-names":false,"suffix":""},{"dropping-particle":"","family":"Ahmed","given":"Tahmeed","non-dropping-particle":"","parse-names":false,"suffix":""},{"dropping-particle":"","family":"Bhutta","given":"Zulfiqar A.","non-dropping-particle":"","parse-names":false,"suffix":""}],"container-title":"BMC Public Health","id":"ITEM-1","issued":{"date-parts":[["2013"]]},"title":"Treatment of severe and moderate acute malnutrition in low- and middle-income settings: A systematic review, meta-analysis and Delphi process","type":"article"},"uris":["http://www.mendeley.com/documents/?uuid=eefbede7-51f5-4629-ab29-d1bed4d7d20a"]}],"mendeley":{"formattedCitation":"&lt;sup&gt;20&lt;/sup&gt;","plainTextFormattedCitation":"20","previouslyFormattedCitation":"&lt;sup&gt;20&lt;/sup&gt;"},"properties":{"noteIndex":0},"schema":"https://github.com/citation-style-language/schema/raw/master/csl-citation.json"}</w:instrText>
            </w:r>
            <w:r w:rsidR="004533D0">
              <w:rPr>
                <w:rFonts w:asciiTheme="majorHAnsi" w:hAnsiTheme="majorHAnsi" w:cstheme="majorHAnsi"/>
                <w:sz w:val="20"/>
                <w:szCs w:val="20"/>
              </w:rPr>
              <w:fldChar w:fldCharType="separate"/>
            </w:r>
            <w:r w:rsidR="004533D0" w:rsidRPr="004533D0">
              <w:rPr>
                <w:rFonts w:asciiTheme="majorHAnsi" w:hAnsiTheme="majorHAnsi" w:cstheme="majorHAnsi"/>
                <w:noProof/>
                <w:sz w:val="20"/>
                <w:szCs w:val="20"/>
                <w:vertAlign w:val="superscript"/>
              </w:rPr>
              <w:t>20</w:t>
            </w:r>
            <w:r w:rsidR="004533D0">
              <w:rPr>
                <w:rFonts w:asciiTheme="majorHAnsi" w:hAnsiTheme="majorHAnsi" w:cstheme="majorHAnsi"/>
                <w:sz w:val="20"/>
                <w:szCs w:val="20"/>
              </w:rPr>
              <w:fldChar w:fldCharType="end"/>
            </w:r>
            <w:r w:rsidR="004533D0" w:rsidRPr="004533D0">
              <w:rPr>
                <w:rFonts w:asciiTheme="majorHAnsi" w:hAnsiTheme="majorHAnsi" w:cstheme="majorHAnsi"/>
                <w:sz w:val="20"/>
                <w:szCs w:val="20"/>
              </w:rPr>
              <w:t>].</w:t>
            </w:r>
          </w:p>
          <w:p w14:paraId="296AA1D1" w14:textId="77777777" w:rsidR="00CD50A7" w:rsidRPr="00031FAB" w:rsidRDefault="00CD50A7" w:rsidP="0045537D">
            <w:pPr>
              <w:rPr>
                <w:rFonts w:asciiTheme="majorHAnsi" w:hAnsiTheme="majorHAnsi" w:cstheme="majorHAnsi"/>
                <w:sz w:val="20"/>
                <w:szCs w:val="20"/>
              </w:rPr>
            </w:pPr>
            <w:r>
              <w:rPr>
                <w:rFonts w:asciiTheme="majorHAnsi" w:hAnsiTheme="majorHAnsi" w:cstheme="majorHAnsi"/>
                <w:sz w:val="20"/>
                <w:szCs w:val="20"/>
              </w:rPr>
              <w:t xml:space="preserve">Note that this </w:t>
            </w:r>
            <w:r w:rsidRPr="00636623">
              <w:rPr>
                <w:rFonts w:asciiTheme="majorHAnsi" w:hAnsiTheme="majorHAnsi" w:cstheme="majorHAnsi"/>
                <w:sz w:val="20"/>
                <w:szCs w:val="20"/>
              </w:rPr>
              <w:t>intervention is defined as treating children until they reach a weight-for-height of three standard deviations below the WHO Child Growth Standards median, at which point their mortality risks are significantly reduced but they are still defined as being wasted (i.e. children who are severely wasted are treated to become only moderately wasted, but wasted nonetheless)</w:t>
            </w:r>
            <w:r>
              <w:rPr>
                <w:rFonts w:asciiTheme="majorHAnsi" w:hAnsiTheme="majorHAnsi" w:cstheme="majorHAnsi"/>
                <w:sz w:val="20"/>
                <w:szCs w:val="20"/>
              </w:rPr>
              <w:t>.</w:t>
            </w:r>
          </w:p>
        </w:tc>
      </w:tr>
      <w:tr w:rsidR="00CD50A7" w:rsidRPr="00031FAB" w14:paraId="7FC74D9E" w14:textId="77777777" w:rsidTr="0045537D">
        <w:trPr>
          <w:jc w:val="center"/>
        </w:trPr>
        <w:tc>
          <w:tcPr>
            <w:tcW w:w="2501" w:type="dxa"/>
            <w:vAlign w:val="center"/>
          </w:tcPr>
          <w:p w14:paraId="656F55E6" w14:textId="77777777" w:rsidR="00CD50A7" w:rsidRPr="00C1442D" w:rsidRDefault="00CD50A7" w:rsidP="0045537D">
            <w:pPr>
              <w:rPr>
                <w:rFonts w:asciiTheme="majorHAnsi" w:hAnsiTheme="majorHAnsi" w:cstheme="majorHAnsi"/>
                <w:sz w:val="20"/>
                <w:szCs w:val="20"/>
              </w:rPr>
            </w:pPr>
            <w:r w:rsidRPr="00C1442D">
              <w:rPr>
                <w:rFonts w:asciiTheme="majorHAnsi" w:eastAsia="Times New Roman" w:hAnsiTheme="majorHAnsi" w:cstheme="majorHAnsi"/>
                <w:sz w:val="20"/>
                <w:szCs w:val="20"/>
                <w:lang w:eastAsia="en-AU"/>
              </w:rPr>
              <w:t>Vitamin A supplementation</w:t>
            </w:r>
          </w:p>
        </w:tc>
        <w:tc>
          <w:tcPr>
            <w:tcW w:w="2397" w:type="dxa"/>
            <w:gridSpan w:val="2"/>
            <w:vAlign w:val="center"/>
          </w:tcPr>
          <w:p w14:paraId="7B3F4652" w14:textId="77777777" w:rsidR="00CD50A7" w:rsidRPr="00C1442D" w:rsidRDefault="00CD50A7" w:rsidP="0045537D">
            <w:pPr>
              <w:jc w:val="center"/>
              <w:rPr>
                <w:rFonts w:asciiTheme="majorHAnsi" w:eastAsia="Times New Roman" w:hAnsiTheme="majorHAnsi" w:cstheme="majorHAnsi"/>
                <w:sz w:val="20"/>
                <w:szCs w:val="20"/>
                <w:lang w:eastAsia="en-AU"/>
              </w:rPr>
            </w:pPr>
            <w:r w:rsidRPr="00C1442D">
              <w:rPr>
                <w:rFonts w:asciiTheme="majorHAnsi" w:hAnsiTheme="majorHAnsi" w:cstheme="majorHAnsi"/>
                <w:sz w:val="20"/>
                <w:szCs w:val="20"/>
              </w:rPr>
              <w:t>Children 6-59 months</w:t>
            </w:r>
          </w:p>
        </w:tc>
        <w:tc>
          <w:tcPr>
            <w:tcW w:w="2752" w:type="dxa"/>
            <w:vAlign w:val="center"/>
          </w:tcPr>
          <w:p w14:paraId="4579BBF6" w14:textId="77777777" w:rsidR="00CD50A7" w:rsidRPr="00C1442D" w:rsidRDefault="00CD50A7" w:rsidP="0045537D">
            <w:pPr>
              <w:rPr>
                <w:rFonts w:asciiTheme="majorHAnsi" w:hAnsiTheme="majorHAnsi" w:cstheme="majorHAnsi"/>
                <w:sz w:val="20"/>
                <w:szCs w:val="20"/>
              </w:rPr>
            </w:pPr>
            <w:r w:rsidRPr="00C1442D">
              <w:rPr>
                <w:rFonts w:asciiTheme="majorHAnsi" w:hAnsiTheme="majorHAnsi" w:cstheme="majorHAnsi"/>
                <w:sz w:val="20"/>
                <w:szCs w:val="20"/>
              </w:rPr>
              <w:t xml:space="preserve">Reduces diarrhoea incidence </w:t>
            </w:r>
            <w:r>
              <w:rPr>
                <w:rFonts w:asciiTheme="majorHAnsi" w:hAnsiTheme="majorHAnsi" w:cstheme="majorHAnsi"/>
                <w:sz w:val="20"/>
                <w:szCs w:val="20"/>
              </w:rPr>
              <w:t xml:space="preserve">and </w:t>
            </w:r>
            <w:r w:rsidRPr="00C1442D">
              <w:rPr>
                <w:rFonts w:asciiTheme="majorHAnsi" w:hAnsiTheme="majorHAnsi" w:cstheme="majorHAnsi"/>
                <w:sz w:val="20"/>
                <w:szCs w:val="20"/>
              </w:rPr>
              <w:t>mortality</w:t>
            </w:r>
          </w:p>
        </w:tc>
        <w:tc>
          <w:tcPr>
            <w:tcW w:w="6946" w:type="dxa"/>
            <w:vAlign w:val="center"/>
          </w:tcPr>
          <w:p w14:paraId="6A2CB617" w14:textId="2DC843F7" w:rsidR="00CD50A7" w:rsidRPr="00031FAB" w:rsidRDefault="00CD50A7" w:rsidP="0045537D">
            <w:pPr>
              <w:rPr>
                <w:rFonts w:asciiTheme="majorHAnsi" w:hAnsiTheme="majorHAnsi" w:cstheme="majorHAnsi"/>
                <w:sz w:val="20"/>
                <w:szCs w:val="20"/>
              </w:rPr>
            </w:pPr>
            <w:r w:rsidRPr="00031FAB">
              <w:rPr>
                <w:rFonts w:asciiTheme="majorHAnsi" w:hAnsiTheme="majorHAnsi" w:cstheme="majorHAnsi"/>
                <w:sz w:val="20"/>
                <w:szCs w:val="20"/>
              </w:rPr>
              <w:t xml:space="preserve">RRR = 0.85 for diarrhoea incidence </w:t>
            </w:r>
            <w:r w:rsidR="004533D0" w:rsidRPr="004533D0">
              <w:rPr>
                <w:rFonts w:asciiTheme="majorHAnsi" w:hAnsiTheme="majorHAnsi" w:cstheme="majorHAnsi"/>
                <w:sz w:val="20"/>
                <w:szCs w:val="20"/>
              </w:rPr>
              <w:t>[</w:t>
            </w:r>
            <w:proofErr w:type="spellStart"/>
            <w:r w:rsidR="004533D0" w:rsidRPr="004533D0">
              <w:rPr>
                <w:rFonts w:asciiTheme="majorHAnsi" w:hAnsiTheme="majorHAnsi" w:cstheme="majorHAnsi"/>
                <w:sz w:val="20"/>
                <w:szCs w:val="20"/>
              </w:rPr>
              <w:t>Imdad</w:t>
            </w:r>
            <w:proofErr w:type="spellEnd"/>
            <w:r w:rsidR="004533D0" w:rsidRPr="004533D0">
              <w:rPr>
                <w:rFonts w:asciiTheme="majorHAnsi" w:hAnsiTheme="majorHAnsi" w:cstheme="majorHAnsi"/>
                <w:sz w:val="20"/>
                <w:szCs w:val="20"/>
              </w:rPr>
              <w:t xml:space="preserve"> et al. 2017, Cochrane review</w:t>
            </w:r>
            <w:r w:rsidR="004533D0">
              <w:rPr>
                <w:rFonts w:asciiTheme="majorHAnsi" w:hAnsiTheme="majorHAnsi" w:cstheme="majorHAnsi"/>
                <w:sz w:val="20"/>
                <w:szCs w:val="20"/>
              </w:rPr>
              <w:fldChar w:fldCharType="begin" w:fldLock="1"/>
            </w:r>
            <w:r w:rsidR="004533D0">
              <w:rPr>
                <w:rFonts w:asciiTheme="majorHAnsi" w:hAnsiTheme="majorHAnsi" w:cstheme="majorHAnsi"/>
                <w:sz w:val="20"/>
                <w:szCs w:val="20"/>
              </w:rPr>
              <w:instrText>ADDIN CSL_CITATION {"citationItems":[{"id":"ITEM-1","itemData":{"DOI":"10.1002/14651858.CD008524.pub3","ISSN":"1469493X","PMID":"28282701","abstract":"Background: Vitamin A deficiency (VAD) is a major public health problem in low- and middle-income countries, affecting 190 million children under five years of age and leading to many adverse health consequences, including death. Based on prior evidence and a previous version of this review, the World Health Organization has continued to recommend vitamin A supplementation for children aged 6 to 59 months. There are new data available from recently published randomised trials since the previous publication of this review in 2010, and this update incorporates this information and reviews the evidence. Objectives: To assess the effects of vitamin A supplementation (VAS) for preventing morbidity and mortality in children aged six months to five years. Search methods: In March 2016 we searched CENTRAL, Ovid MEDLINE, Embase, six other databases, and two trials registers. We also checked reference lists and contacted relevant organisations and researchers to identify additional studies. Selection criteria: Randomised controlled trials (RCTs) and cluster-RCTs evaluating the effect of synthetic VAS in children aged six months to five years living in the community. We excluded studies involving children in hospital and children with disease or infection. We also excluded studies evaluating the effects of food fortification, consumption of vitamin A rich foods, or beta-carotene supplementation. Data collection and analysis: For this update, two reviewers independently assessed studies for inclusion and abstracted data, resolving discrepancies by discussion. We performed meta-analyses for outcomes, including all-cause and cause-specific mortality, disease, vision, and side effects. We used the GRADE approach to assess the quality of the evidence. Main results: We identified 47 studies (4 of which are new to this review), involving approximately 1,223,856 children. Studies took place in 19 countries: 30 (63%) in Asia, 16 of these in India; 8 (17%) in Africa; 7 (15%) in Latin America, and 2 (4%) in Australia. About one-third of the studies were in urban/periurban settings, and half were in rural settings; the remaining studies did not clearly report settings. Most of the studies included equal numbers of girls and boys and lasted about a year. The included studies were at variable overall risk of bias; however, evidence for the primary outcome was at low risk of bias. A meta-analysis for all-cause mortality included 19 trials (1,202,382 children). At longest follow-…","author":[{"dropping-particle":"","family":"Imdad","given":"Aamer","non-dropping-particle":"","parse-names":false,"suffix":""},{"dropping-particle":"","family":"Mayo-Wilson","given":"Evan","non-dropping-particle":"","parse-names":false,"suffix":""},{"dropping-particle":"","family":"Herzer","given":"Kurt","non-dropping-particle":"","parse-names":false,"suffix":""},{"dropping-particle":"","family":"Bhutta","given":"Zulfiqar A.","non-dropping-particle":"","parse-names":false,"suffix":""}],"container-title":"Cochrane Database of Systematic Reviews","id":"ITEM-1","issued":{"date-parts":[["2017"]]},"title":"Vitamin A supplementation for preventing morbidity and mortality in children from six months to five years of age","type":"article-journal"},"uris":["http://www.mendeley.com/documents/?uuid=ab7eac2d-9d8b-4660-a2c0-9e86025eb6a8"]}],"mendeley":{"formattedCitation":"&lt;sup&gt;21&lt;/sup&gt;","plainTextFormattedCitation":"21","previouslyFormattedCitation":"&lt;sup&gt;21&lt;/sup&gt;"},"properties":{"noteIndex":0},"schema":"https://github.com/citation-style-language/schema/raw/master/csl-citation.json"}</w:instrText>
            </w:r>
            <w:r w:rsidR="004533D0">
              <w:rPr>
                <w:rFonts w:asciiTheme="majorHAnsi" w:hAnsiTheme="majorHAnsi" w:cstheme="majorHAnsi"/>
                <w:sz w:val="20"/>
                <w:szCs w:val="20"/>
              </w:rPr>
              <w:fldChar w:fldCharType="separate"/>
            </w:r>
            <w:r w:rsidR="004533D0" w:rsidRPr="004533D0">
              <w:rPr>
                <w:rFonts w:asciiTheme="majorHAnsi" w:hAnsiTheme="majorHAnsi" w:cstheme="majorHAnsi"/>
                <w:noProof/>
                <w:sz w:val="20"/>
                <w:szCs w:val="20"/>
                <w:vertAlign w:val="superscript"/>
              </w:rPr>
              <w:t>21</w:t>
            </w:r>
            <w:r w:rsidR="004533D0">
              <w:rPr>
                <w:rFonts w:asciiTheme="majorHAnsi" w:hAnsiTheme="majorHAnsi" w:cstheme="majorHAnsi"/>
                <w:sz w:val="20"/>
                <w:szCs w:val="20"/>
              </w:rPr>
              <w:fldChar w:fldCharType="end"/>
            </w:r>
            <w:r w:rsidR="004533D0" w:rsidRPr="004533D0">
              <w:rPr>
                <w:rFonts w:asciiTheme="majorHAnsi" w:hAnsiTheme="majorHAnsi" w:cstheme="majorHAnsi"/>
                <w:sz w:val="20"/>
                <w:szCs w:val="20"/>
              </w:rPr>
              <w:t>]</w:t>
            </w:r>
          </w:p>
          <w:p w14:paraId="50527582" w14:textId="437CD2D2" w:rsidR="00CD50A7" w:rsidRDefault="00CD50A7" w:rsidP="0045537D">
            <w:pPr>
              <w:rPr>
                <w:rFonts w:asciiTheme="majorHAnsi" w:hAnsiTheme="majorHAnsi" w:cstheme="majorHAnsi"/>
                <w:sz w:val="20"/>
                <w:szCs w:val="20"/>
              </w:rPr>
            </w:pPr>
            <w:r w:rsidRPr="00031FAB">
              <w:rPr>
                <w:rFonts w:asciiTheme="majorHAnsi" w:hAnsiTheme="majorHAnsi" w:cstheme="majorHAnsi"/>
                <w:sz w:val="20"/>
                <w:szCs w:val="20"/>
              </w:rPr>
              <w:t xml:space="preserve">RRR = 0.88 for diarrhoea-specific mortality </w:t>
            </w:r>
            <w:r w:rsidR="004533D0" w:rsidRPr="004533D0">
              <w:rPr>
                <w:rFonts w:asciiTheme="majorHAnsi" w:hAnsiTheme="majorHAnsi" w:cstheme="majorHAnsi"/>
                <w:sz w:val="20"/>
                <w:szCs w:val="20"/>
              </w:rPr>
              <w:t>[</w:t>
            </w:r>
            <w:proofErr w:type="spellStart"/>
            <w:r w:rsidR="004533D0" w:rsidRPr="004533D0">
              <w:rPr>
                <w:rFonts w:asciiTheme="majorHAnsi" w:hAnsiTheme="majorHAnsi" w:cstheme="majorHAnsi"/>
                <w:sz w:val="20"/>
                <w:szCs w:val="20"/>
              </w:rPr>
              <w:t>Imdad</w:t>
            </w:r>
            <w:proofErr w:type="spellEnd"/>
            <w:r w:rsidR="004533D0" w:rsidRPr="004533D0">
              <w:rPr>
                <w:rFonts w:asciiTheme="majorHAnsi" w:hAnsiTheme="majorHAnsi" w:cstheme="majorHAnsi"/>
                <w:sz w:val="20"/>
                <w:szCs w:val="20"/>
              </w:rPr>
              <w:t xml:space="preserve"> et al. 2017, Cochrane review</w:t>
            </w:r>
            <w:r w:rsidR="004533D0">
              <w:rPr>
                <w:rFonts w:asciiTheme="majorHAnsi" w:hAnsiTheme="majorHAnsi" w:cstheme="majorHAnsi"/>
                <w:sz w:val="20"/>
                <w:szCs w:val="20"/>
              </w:rPr>
              <w:fldChar w:fldCharType="begin" w:fldLock="1"/>
            </w:r>
            <w:r w:rsidR="004533D0">
              <w:rPr>
                <w:rFonts w:asciiTheme="majorHAnsi" w:hAnsiTheme="majorHAnsi" w:cstheme="majorHAnsi"/>
                <w:sz w:val="20"/>
                <w:szCs w:val="20"/>
              </w:rPr>
              <w:instrText>ADDIN CSL_CITATION {"citationItems":[{"id":"ITEM-1","itemData":{"DOI":"10.1002/14651858.CD008524.pub3","ISSN":"1469493X","PMID":"28282701","abstract":"Background: Vitamin A deficiency (VAD) is a major public health problem in low- and middle-income countries, affecting 190 million children under five years of age and leading to many adverse health consequences, including death. Based on prior evidence and a previous version of this review, the World Health Organization has continued to recommend vitamin A supplementation for children aged 6 to 59 months. There are new data available from recently published randomised trials since the previous publication of this review in 2010, and this update incorporates this information and reviews the evidence. Objectives: To assess the effects of vitamin A supplementation (VAS) for preventing morbidity and mortality in children aged six months to five years. Search methods: In March 2016 we searched CENTRAL, Ovid MEDLINE, Embase, six other databases, and two trials registers. We also checked reference lists and contacted relevant organisations and researchers to identify additional studies. Selection criteria: Randomised controlled trials (RCTs) and cluster-RCTs evaluating the effect of synthetic VAS in children aged six months to five years living in the community. We excluded studies involving children in hospital and children with disease or infection. We also excluded studies evaluating the effects of food fortification, consumption of vitamin A rich foods, or beta-carotene supplementation. Data collection and analysis: For this update, two reviewers independently assessed studies for inclusion and abstracted data, resolving discrepancies by discussion. We performed meta-analyses for outcomes, including all-cause and cause-specific mortality, disease, vision, and side effects. We used the GRADE approach to assess the quality of the evidence. Main results: We identified 47 studies (4 of which are new to this review), involving approximately 1,223,856 children. Studies took place in 19 countries: 30 (63%) in Asia, 16 of these in India; 8 (17%) in Africa; 7 (15%) in Latin America, and 2 (4%) in Australia. About one-third of the studies were in urban/periurban settings, and half were in rural settings; the remaining studies did not clearly report settings. Most of the studies included equal numbers of girls and boys and lasted about a year. The included studies were at variable overall risk of bias; however, evidence for the primary outcome was at low risk of bias. A meta-analysis for all-cause mortality included 19 trials (1,202,382 children). At longest follow-…","author":[{"dropping-particle":"","family":"Imdad","given":"Aamer","non-dropping-particle":"","parse-names":false,"suffix":""},{"dropping-particle":"","family":"Mayo-Wilson","given":"Evan","non-dropping-particle":"","parse-names":false,"suffix":""},{"dropping-particle":"","family":"Herzer","given":"Kurt","non-dropping-particle":"","parse-names":false,"suffix":""},{"dropping-particle":"","family":"Bhutta","given":"Zulfiqar A.","non-dropping-particle":"","parse-names":false,"suffix":""}],"container-title":"Cochrane Database of Systematic Reviews","id":"ITEM-1","issued":{"date-parts":[["2017"]]},"title":"Vitamin A supplementation for preventing morbidity and mortality in children from six months to five years of age","type":"article-journal"},"uris":["http://www.mendeley.com/documents/?uuid=ab7eac2d-9d8b-4660-a2c0-9e86025eb6a8"]}],"mendeley":{"formattedCitation":"&lt;sup&gt;21&lt;/sup&gt;","plainTextFormattedCitation":"21","previouslyFormattedCitation":"&lt;sup&gt;21&lt;/sup&gt;"},"properties":{"noteIndex":0},"schema":"https://github.com/citation-style-language/schema/raw/master/csl-citation.json"}</w:instrText>
            </w:r>
            <w:r w:rsidR="004533D0">
              <w:rPr>
                <w:rFonts w:asciiTheme="majorHAnsi" w:hAnsiTheme="majorHAnsi" w:cstheme="majorHAnsi"/>
                <w:sz w:val="20"/>
                <w:szCs w:val="20"/>
              </w:rPr>
              <w:fldChar w:fldCharType="separate"/>
            </w:r>
            <w:r w:rsidR="004533D0" w:rsidRPr="004533D0">
              <w:rPr>
                <w:rFonts w:asciiTheme="majorHAnsi" w:hAnsiTheme="majorHAnsi" w:cstheme="majorHAnsi"/>
                <w:noProof/>
                <w:sz w:val="20"/>
                <w:szCs w:val="20"/>
                <w:vertAlign w:val="superscript"/>
              </w:rPr>
              <w:t>21</w:t>
            </w:r>
            <w:r w:rsidR="004533D0">
              <w:rPr>
                <w:rFonts w:asciiTheme="majorHAnsi" w:hAnsiTheme="majorHAnsi" w:cstheme="majorHAnsi"/>
                <w:sz w:val="20"/>
                <w:szCs w:val="20"/>
              </w:rPr>
              <w:fldChar w:fldCharType="end"/>
            </w:r>
            <w:r w:rsidR="004533D0" w:rsidRPr="004533D0">
              <w:rPr>
                <w:rFonts w:asciiTheme="majorHAnsi" w:hAnsiTheme="majorHAnsi" w:cstheme="majorHAnsi"/>
                <w:sz w:val="20"/>
                <w:szCs w:val="20"/>
              </w:rPr>
              <w:t>]</w:t>
            </w:r>
          </w:p>
          <w:p w14:paraId="0672DE50" w14:textId="77777777" w:rsidR="00CD50A7" w:rsidRPr="00031FAB" w:rsidRDefault="00CD50A7" w:rsidP="0045537D">
            <w:pPr>
              <w:rPr>
                <w:rFonts w:asciiTheme="majorHAnsi" w:hAnsiTheme="majorHAnsi" w:cstheme="majorHAnsi"/>
                <w:sz w:val="20"/>
                <w:szCs w:val="20"/>
              </w:rPr>
            </w:pPr>
            <w:r>
              <w:rPr>
                <w:rFonts w:asciiTheme="majorHAnsi" w:hAnsiTheme="majorHAnsi" w:cstheme="majorHAnsi"/>
                <w:sz w:val="20"/>
                <w:szCs w:val="20"/>
              </w:rPr>
              <w:t>Effect size applies to percentage who are vitamin A deficient.</w:t>
            </w:r>
          </w:p>
        </w:tc>
      </w:tr>
      <w:tr w:rsidR="00CD50A7" w:rsidRPr="00031FAB" w14:paraId="4403A119" w14:textId="77777777" w:rsidTr="0045537D">
        <w:trPr>
          <w:jc w:val="center"/>
        </w:trPr>
        <w:tc>
          <w:tcPr>
            <w:tcW w:w="2501" w:type="dxa"/>
            <w:vAlign w:val="center"/>
          </w:tcPr>
          <w:p w14:paraId="1BF9AD32" w14:textId="77777777" w:rsidR="00CD50A7" w:rsidRPr="00C1442D" w:rsidRDefault="00CD50A7" w:rsidP="0045537D">
            <w:pPr>
              <w:rPr>
                <w:rFonts w:asciiTheme="majorHAnsi" w:hAnsiTheme="majorHAnsi" w:cstheme="majorHAnsi"/>
                <w:sz w:val="20"/>
                <w:szCs w:val="20"/>
              </w:rPr>
            </w:pPr>
            <w:r w:rsidRPr="00C1442D">
              <w:rPr>
                <w:rFonts w:asciiTheme="majorHAnsi" w:eastAsia="Times New Roman" w:hAnsiTheme="majorHAnsi" w:cstheme="majorHAnsi"/>
                <w:sz w:val="20"/>
                <w:szCs w:val="20"/>
                <w:lang w:eastAsia="en-AU"/>
              </w:rPr>
              <w:t>Balanced energy-protein supplementation</w:t>
            </w:r>
          </w:p>
        </w:tc>
        <w:tc>
          <w:tcPr>
            <w:tcW w:w="2397" w:type="dxa"/>
            <w:gridSpan w:val="2"/>
            <w:vAlign w:val="center"/>
          </w:tcPr>
          <w:p w14:paraId="5476284F" w14:textId="77777777" w:rsidR="00CD50A7" w:rsidRPr="00C1442D" w:rsidRDefault="00CD50A7" w:rsidP="0045537D">
            <w:pPr>
              <w:jc w:val="center"/>
              <w:rPr>
                <w:rFonts w:asciiTheme="majorHAnsi" w:eastAsia="Times New Roman" w:hAnsiTheme="majorHAnsi" w:cstheme="majorHAnsi"/>
                <w:sz w:val="20"/>
                <w:szCs w:val="20"/>
                <w:lang w:eastAsia="en-AU"/>
              </w:rPr>
            </w:pPr>
            <w:r w:rsidRPr="00C1442D">
              <w:rPr>
                <w:rFonts w:asciiTheme="majorHAnsi" w:hAnsiTheme="majorHAnsi" w:cstheme="majorHAnsi"/>
                <w:sz w:val="20"/>
                <w:szCs w:val="20"/>
              </w:rPr>
              <w:t>Pregnant women below the poverty line</w:t>
            </w:r>
          </w:p>
        </w:tc>
        <w:tc>
          <w:tcPr>
            <w:tcW w:w="2752" w:type="dxa"/>
            <w:vAlign w:val="center"/>
          </w:tcPr>
          <w:p w14:paraId="53F55409" w14:textId="77777777" w:rsidR="00CD50A7" w:rsidRPr="00C1442D" w:rsidRDefault="00CD50A7" w:rsidP="0045537D">
            <w:pPr>
              <w:rPr>
                <w:rFonts w:asciiTheme="majorHAnsi" w:hAnsiTheme="majorHAnsi" w:cstheme="majorHAnsi"/>
                <w:sz w:val="20"/>
                <w:szCs w:val="20"/>
              </w:rPr>
            </w:pPr>
            <w:r w:rsidRPr="00C1442D">
              <w:rPr>
                <w:rFonts w:asciiTheme="majorHAnsi" w:hAnsiTheme="majorHAnsi" w:cstheme="majorHAnsi"/>
                <w:sz w:val="20"/>
                <w:szCs w:val="20"/>
              </w:rPr>
              <w:t xml:space="preserve">Reduces risk of </w:t>
            </w:r>
            <w:r>
              <w:rPr>
                <w:rFonts w:asciiTheme="majorHAnsi" w:hAnsiTheme="majorHAnsi" w:cstheme="majorHAnsi"/>
                <w:sz w:val="20"/>
                <w:szCs w:val="20"/>
              </w:rPr>
              <w:t>small for gestational age (SGA)</w:t>
            </w:r>
            <w:r w:rsidRPr="00C1442D">
              <w:rPr>
                <w:rFonts w:asciiTheme="majorHAnsi" w:hAnsiTheme="majorHAnsi" w:cstheme="majorHAnsi"/>
                <w:sz w:val="20"/>
                <w:szCs w:val="20"/>
              </w:rPr>
              <w:t xml:space="preserve"> birth outcomes </w:t>
            </w:r>
          </w:p>
        </w:tc>
        <w:tc>
          <w:tcPr>
            <w:tcW w:w="6946" w:type="dxa"/>
            <w:vAlign w:val="center"/>
          </w:tcPr>
          <w:p w14:paraId="05A5C859" w14:textId="48DDA5D4" w:rsidR="00CD50A7" w:rsidRPr="00031FAB" w:rsidRDefault="00CD50A7" w:rsidP="0045537D">
            <w:pPr>
              <w:rPr>
                <w:rFonts w:asciiTheme="majorHAnsi" w:hAnsiTheme="majorHAnsi" w:cstheme="majorHAnsi"/>
                <w:sz w:val="20"/>
                <w:szCs w:val="20"/>
              </w:rPr>
            </w:pPr>
            <w:r w:rsidRPr="00031FAB">
              <w:rPr>
                <w:rFonts w:asciiTheme="majorHAnsi" w:hAnsiTheme="majorHAnsi" w:cstheme="majorHAnsi"/>
                <w:sz w:val="20"/>
                <w:szCs w:val="20"/>
              </w:rPr>
              <w:t xml:space="preserve">RRR = 0.79 for SGA birth outcomes </w:t>
            </w:r>
            <w:r w:rsidR="004533D0" w:rsidRPr="004533D0">
              <w:rPr>
                <w:rFonts w:asciiTheme="majorHAnsi" w:hAnsiTheme="majorHAnsi" w:cstheme="majorHAnsi"/>
                <w:sz w:val="20"/>
                <w:szCs w:val="20"/>
              </w:rPr>
              <w:t>[Ota et al. 2015, The Cochrane Library</w:t>
            </w:r>
            <w:r w:rsidR="004533D0">
              <w:rPr>
                <w:rFonts w:asciiTheme="majorHAnsi" w:hAnsiTheme="majorHAnsi" w:cstheme="majorHAnsi"/>
                <w:sz w:val="20"/>
                <w:szCs w:val="20"/>
              </w:rPr>
              <w:fldChar w:fldCharType="begin" w:fldLock="1"/>
            </w:r>
            <w:r w:rsidR="004533D0">
              <w:rPr>
                <w:rFonts w:asciiTheme="majorHAnsi" w:hAnsiTheme="majorHAnsi" w:cstheme="majorHAnsi"/>
                <w:sz w:val="20"/>
                <w:szCs w:val="20"/>
              </w:rPr>
              <w:instrText>ADDIN CSL_CITATION {"citationItems":[{"id":"ITEM-1","itemData":{"DOI":"10.1002/14651858.CD000032.pub3","ISSN":"1469493X","PMID":"26031211","abstract":"Background: Gestational weight gain is positively associated with fetal growth, and observational studies of food supplementation in pregnancy have reported increases in gestational weight gain and fetal growth. Objectives: To assess the effects of education during pregnancy to increase energy and protein intake, or of actual energy and protein supplementation, on energy and protein intake, and the effect on maternal and infant health outcomes. Search methods: We searched the Cochrane Pregnancy and Childbirth Group's Trials Register (31 January 2015), reference lists of retrieved studies and contacted researchers in the field. Selection criteria: Randomised controlled trials of dietary education to increase energy and protein intake, or of actual energy and protein supplementation, during pregnancy. Data collection and analysis: Two review authors independently assessed trials for inclusion and assessed risk of bias. Two review authors independently extracted data and checked for accuracy. Extracted data were supplemented by additional information from the trialists we contacted. Main results: We examined 149 reports corresponding to 65 trials. Of these trials, 17 were included, 46 were excluded, and two are ongoing. Overall, 17 trials involving 9030 women were included. For this update, we assessed methodological quality of the included trials using the standard Cochrane criteria (risk of bias) and the GRADE approach. The overall risk of bias was unclear. Nutritional education (five trials, 1090 women) Women given nutritional education had a lower relative risk of having a preterm birth (two trials, 449 women) (risk ratio (RR) 0.46, 95% CI 0.21 to 0.98, low-quality evidence), and low birthweight (one trial, 300 women) (RR 0.04, 95% CI 0.01 to 0.14). Head circumference at birth was increased in one trial (389 women) (mean difference (MD) 0.99 cm, 95% CI 0.43 to 1.55), while birthweight was significantly increased among undernourished women in two trials (320 women) (MD 489.76 g, 95% CI 427.93 to 551.59, low-quality evidence), but did not significantly increase for adequately nourished women (MD 15.00, 95% CI -76.30 to 106.30, one trial, 406 women). Protein intake increased significantly (three trials, 632 women) (protein intake: MD +6.99 g/day, 95% CI 3.02 to 10.97). No significant differences were observed on any other outcomes such as neonatal death (RR 1.28, 95% CI 0.35 to 4.72, one trial, 448 women, low-quality evidence), stillbirth (RR 0.37, 95% CI…","author":[{"dropping-particle":"","family":"Ota","given":"Erika","non-dropping-particle":"","parse-names":false,"suffix":""},{"dropping-particle":"","family":"Hori","given":"Hiroyuki","non-dropping-particle":"","parse-names":false,"suffix":""},{"dropping-particle":"","family":"Mori","given":"Rintaro","non-dropping-particle":"","parse-names":false,"suffix":""},{"dropping-particle":"","family":"Tobe-Gai","given":"Ruoyan","non-dropping-particle":"","parse-names":false,"suffix":""},{"dropping-particle":"","family":"Farrar","given":"Diane","non-dropping-particle":"","parse-names":false,"suffix":""}],"container-title":"Cochrane Database of Systematic Reviews","id":"ITEM-1","issued":{"date-parts":[["2015"]]},"title":"Antenatal dietary education and supplementation to increase energy and protein intake","type":"article"},"uris":["http://www.mendeley.com/documents/?uuid=2656618e-ad25-47fb-9758-e0bbe381027a"]}],"mendeley":{"formattedCitation":"&lt;sup&gt;22&lt;/sup&gt;","plainTextFormattedCitation":"22","previouslyFormattedCitation":"&lt;sup&gt;22&lt;/sup&gt;"},"properties":{"noteIndex":0},"schema":"https://github.com/citation-style-language/schema/raw/master/csl-citation.json"}</w:instrText>
            </w:r>
            <w:r w:rsidR="004533D0">
              <w:rPr>
                <w:rFonts w:asciiTheme="majorHAnsi" w:hAnsiTheme="majorHAnsi" w:cstheme="majorHAnsi"/>
                <w:sz w:val="20"/>
                <w:szCs w:val="20"/>
              </w:rPr>
              <w:fldChar w:fldCharType="separate"/>
            </w:r>
            <w:r w:rsidR="004533D0" w:rsidRPr="004533D0">
              <w:rPr>
                <w:rFonts w:asciiTheme="majorHAnsi" w:hAnsiTheme="majorHAnsi" w:cstheme="majorHAnsi"/>
                <w:noProof/>
                <w:sz w:val="20"/>
                <w:szCs w:val="20"/>
                <w:vertAlign w:val="superscript"/>
              </w:rPr>
              <w:t>22</w:t>
            </w:r>
            <w:r w:rsidR="004533D0">
              <w:rPr>
                <w:rFonts w:asciiTheme="majorHAnsi" w:hAnsiTheme="majorHAnsi" w:cstheme="majorHAnsi"/>
                <w:sz w:val="20"/>
                <w:szCs w:val="20"/>
              </w:rPr>
              <w:fldChar w:fldCharType="end"/>
            </w:r>
            <w:r w:rsidR="004533D0" w:rsidRPr="004533D0">
              <w:rPr>
                <w:rFonts w:asciiTheme="majorHAnsi" w:hAnsiTheme="majorHAnsi" w:cstheme="majorHAnsi"/>
                <w:sz w:val="20"/>
                <w:szCs w:val="20"/>
              </w:rPr>
              <w:t>]</w:t>
            </w:r>
          </w:p>
        </w:tc>
      </w:tr>
      <w:tr w:rsidR="00CD50A7" w:rsidRPr="00C1442D" w14:paraId="63F94D81" w14:textId="77777777" w:rsidTr="0045537D">
        <w:trPr>
          <w:jc w:val="center"/>
        </w:trPr>
        <w:tc>
          <w:tcPr>
            <w:tcW w:w="2501" w:type="dxa"/>
            <w:shd w:val="clear" w:color="auto" w:fill="000000" w:themeFill="text1"/>
          </w:tcPr>
          <w:p w14:paraId="5A4820B6" w14:textId="77777777" w:rsidR="00CD50A7" w:rsidRPr="00C1442D" w:rsidRDefault="00CD50A7" w:rsidP="0045537D">
            <w:pPr>
              <w:rPr>
                <w:rFonts w:asciiTheme="majorHAnsi" w:hAnsiTheme="majorHAnsi" w:cstheme="majorHAnsi"/>
                <w:b/>
                <w:color w:val="FFFFFF" w:themeColor="background1"/>
                <w:sz w:val="20"/>
                <w:szCs w:val="20"/>
              </w:rPr>
            </w:pPr>
            <w:r w:rsidRPr="00C1442D">
              <w:rPr>
                <w:rFonts w:asciiTheme="majorHAnsi" w:hAnsiTheme="majorHAnsi" w:cstheme="majorHAnsi"/>
                <w:b/>
                <w:color w:val="FFFFFF" w:themeColor="background1"/>
                <w:sz w:val="20"/>
                <w:szCs w:val="20"/>
              </w:rPr>
              <w:t>Coverage</w:t>
            </w:r>
          </w:p>
        </w:tc>
        <w:tc>
          <w:tcPr>
            <w:tcW w:w="1141" w:type="dxa"/>
            <w:shd w:val="clear" w:color="auto" w:fill="000000" w:themeFill="text1"/>
            <w:vAlign w:val="center"/>
          </w:tcPr>
          <w:p w14:paraId="1C1BBDC9" w14:textId="77777777" w:rsidR="00CD50A7" w:rsidRPr="00C1442D" w:rsidRDefault="00CD50A7" w:rsidP="0045537D">
            <w:pPr>
              <w:rPr>
                <w:rFonts w:asciiTheme="majorHAnsi" w:eastAsia="Times New Roman" w:hAnsiTheme="majorHAnsi" w:cstheme="majorHAnsi"/>
                <w:b/>
                <w:color w:val="FFFFFF" w:themeColor="background1"/>
                <w:sz w:val="20"/>
                <w:szCs w:val="20"/>
                <w:lang w:eastAsia="en-AU"/>
              </w:rPr>
            </w:pPr>
          </w:p>
        </w:tc>
        <w:tc>
          <w:tcPr>
            <w:tcW w:w="4008" w:type="dxa"/>
            <w:gridSpan w:val="2"/>
            <w:shd w:val="clear" w:color="auto" w:fill="000000" w:themeFill="text1"/>
          </w:tcPr>
          <w:p w14:paraId="6F4C8F6C" w14:textId="77777777" w:rsidR="00CD50A7" w:rsidRPr="00C1442D" w:rsidRDefault="00CD50A7" w:rsidP="0045537D">
            <w:pPr>
              <w:rPr>
                <w:rFonts w:asciiTheme="majorHAnsi" w:hAnsiTheme="majorHAnsi" w:cstheme="majorHAnsi"/>
                <w:b/>
                <w:color w:val="FFFFFF" w:themeColor="background1"/>
                <w:sz w:val="20"/>
                <w:szCs w:val="20"/>
              </w:rPr>
            </w:pPr>
          </w:p>
        </w:tc>
        <w:tc>
          <w:tcPr>
            <w:tcW w:w="6946" w:type="dxa"/>
            <w:shd w:val="clear" w:color="auto" w:fill="000000" w:themeFill="text1"/>
          </w:tcPr>
          <w:p w14:paraId="67272668" w14:textId="77777777" w:rsidR="00CD50A7" w:rsidRPr="00C1442D" w:rsidRDefault="00CD50A7" w:rsidP="0045537D">
            <w:pPr>
              <w:rPr>
                <w:rFonts w:asciiTheme="majorHAnsi" w:hAnsiTheme="majorHAnsi" w:cstheme="majorHAnsi"/>
                <w:b/>
                <w:color w:val="FFFFFF" w:themeColor="background1"/>
                <w:sz w:val="20"/>
                <w:szCs w:val="20"/>
              </w:rPr>
            </w:pPr>
          </w:p>
        </w:tc>
      </w:tr>
      <w:tr w:rsidR="00CD50A7" w:rsidRPr="00C1442D" w14:paraId="18629743" w14:textId="77777777" w:rsidTr="0045537D">
        <w:trPr>
          <w:jc w:val="center"/>
        </w:trPr>
        <w:tc>
          <w:tcPr>
            <w:tcW w:w="2501" w:type="dxa"/>
            <w:shd w:val="clear" w:color="auto" w:fill="000000" w:themeFill="text1"/>
          </w:tcPr>
          <w:p w14:paraId="6E1F3304" w14:textId="77777777" w:rsidR="00CD50A7" w:rsidRPr="00C1442D" w:rsidRDefault="00CD50A7" w:rsidP="0045537D">
            <w:pPr>
              <w:rPr>
                <w:rFonts w:asciiTheme="majorHAnsi" w:eastAsia="Times New Roman" w:hAnsiTheme="majorHAnsi" w:cstheme="majorHAnsi"/>
                <w:sz w:val="20"/>
                <w:szCs w:val="20"/>
                <w:lang w:eastAsia="en-AU"/>
              </w:rPr>
            </w:pPr>
            <w:r w:rsidRPr="00C1442D">
              <w:rPr>
                <w:rFonts w:asciiTheme="majorHAnsi" w:hAnsiTheme="majorHAnsi" w:cstheme="majorHAnsi"/>
                <w:b/>
                <w:color w:val="FFFFFF" w:themeColor="background1"/>
                <w:sz w:val="20"/>
                <w:szCs w:val="20"/>
              </w:rPr>
              <w:t>Unit costs</w:t>
            </w:r>
          </w:p>
        </w:tc>
        <w:tc>
          <w:tcPr>
            <w:tcW w:w="1141" w:type="dxa"/>
            <w:shd w:val="clear" w:color="auto" w:fill="000000" w:themeFill="text1"/>
            <w:vAlign w:val="center"/>
          </w:tcPr>
          <w:p w14:paraId="3DF50289" w14:textId="77777777" w:rsidR="00CD50A7" w:rsidRPr="00C1442D" w:rsidRDefault="00CD50A7" w:rsidP="0045537D">
            <w:pPr>
              <w:jc w:val="center"/>
              <w:rPr>
                <w:rFonts w:asciiTheme="majorHAnsi" w:eastAsia="Times New Roman" w:hAnsiTheme="majorHAnsi" w:cstheme="majorHAnsi"/>
                <w:sz w:val="20"/>
                <w:szCs w:val="20"/>
                <w:lang w:eastAsia="en-AU"/>
              </w:rPr>
            </w:pPr>
          </w:p>
        </w:tc>
        <w:tc>
          <w:tcPr>
            <w:tcW w:w="4008" w:type="dxa"/>
            <w:gridSpan w:val="2"/>
            <w:shd w:val="clear" w:color="auto" w:fill="000000" w:themeFill="text1"/>
          </w:tcPr>
          <w:p w14:paraId="7B6F12C4" w14:textId="77777777" w:rsidR="00CD50A7" w:rsidRPr="00C1442D" w:rsidRDefault="00CD50A7" w:rsidP="0045537D">
            <w:pPr>
              <w:rPr>
                <w:rFonts w:asciiTheme="majorHAnsi" w:hAnsiTheme="majorHAnsi" w:cstheme="majorHAnsi"/>
                <w:sz w:val="20"/>
                <w:szCs w:val="20"/>
              </w:rPr>
            </w:pPr>
          </w:p>
        </w:tc>
        <w:tc>
          <w:tcPr>
            <w:tcW w:w="6946" w:type="dxa"/>
            <w:shd w:val="clear" w:color="auto" w:fill="000000" w:themeFill="text1"/>
          </w:tcPr>
          <w:p w14:paraId="6F2FD09A" w14:textId="77777777" w:rsidR="00CD50A7" w:rsidRPr="00C1442D" w:rsidRDefault="00CD50A7" w:rsidP="0045537D">
            <w:pPr>
              <w:rPr>
                <w:rFonts w:asciiTheme="majorHAnsi" w:hAnsiTheme="majorHAnsi" w:cstheme="majorHAnsi"/>
                <w:sz w:val="20"/>
                <w:szCs w:val="20"/>
              </w:rPr>
            </w:pPr>
          </w:p>
        </w:tc>
      </w:tr>
      <w:tr w:rsidR="00CD50A7" w:rsidRPr="00C1442D" w14:paraId="474D8230" w14:textId="77777777" w:rsidTr="0045537D">
        <w:trPr>
          <w:jc w:val="center"/>
        </w:trPr>
        <w:tc>
          <w:tcPr>
            <w:tcW w:w="2501" w:type="dxa"/>
            <w:shd w:val="clear" w:color="auto" w:fill="D9D9D9" w:themeFill="background1" w:themeFillShade="D9"/>
          </w:tcPr>
          <w:p w14:paraId="1951ADCC" w14:textId="77777777" w:rsidR="00CD50A7" w:rsidRPr="00C1442D" w:rsidRDefault="00CD50A7" w:rsidP="0045537D">
            <w:pPr>
              <w:rPr>
                <w:rFonts w:asciiTheme="majorHAnsi" w:eastAsia="Times New Roman" w:hAnsiTheme="majorHAnsi" w:cstheme="majorHAnsi"/>
                <w:sz w:val="20"/>
                <w:szCs w:val="20"/>
                <w:lang w:eastAsia="en-AU"/>
              </w:rPr>
            </w:pPr>
            <w:r w:rsidRPr="00C1442D">
              <w:rPr>
                <w:rFonts w:asciiTheme="majorHAnsi" w:hAnsiTheme="majorHAnsi" w:cstheme="majorHAnsi"/>
                <w:sz w:val="20"/>
                <w:szCs w:val="20"/>
              </w:rPr>
              <w:t>Intervention</w:t>
            </w:r>
          </w:p>
        </w:tc>
        <w:tc>
          <w:tcPr>
            <w:tcW w:w="1141" w:type="dxa"/>
            <w:shd w:val="clear" w:color="auto" w:fill="D9D9D9" w:themeFill="background1" w:themeFillShade="D9"/>
            <w:vAlign w:val="center"/>
          </w:tcPr>
          <w:p w14:paraId="6D853762" w14:textId="77777777" w:rsidR="00CD50A7" w:rsidRPr="00C1442D" w:rsidRDefault="00CD50A7" w:rsidP="0045537D">
            <w:pPr>
              <w:jc w:val="center"/>
              <w:rPr>
                <w:rFonts w:asciiTheme="majorHAnsi" w:eastAsia="Times New Roman" w:hAnsiTheme="majorHAnsi" w:cstheme="majorHAnsi"/>
                <w:sz w:val="20"/>
                <w:szCs w:val="20"/>
                <w:lang w:eastAsia="en-AU"/>
              </w:rPr>
            </w:pPr>
            <w:r>
              <w:rPr>
                <w:rFonts w:asciiTheme="majorHAnsi" w:eastAsia="Times New Roman" w:hAnsiTheme="majorHAnsi" w:cstheme="majorHAnsi"/>
                <w:i/>
                <w:sz w:val="20"/>
                <w:szCs w:val="20"/>
                <w:lang w:eastAsia="en-AU"/>
              </w:rPr>
              <w:t>Average across 118 countries in analysis</w:t>
            </w:r>
          </w:p>
        </w:tc>
        <w:tc>
          <w:tcPr>
            <w:tcW w:w="4008" w:type="dxa"/>
            <w:gridSpan w:val="2"/>
            <w:shd w:val="clear" w:color="auto" w:fill="D9D9D9" w:themeFill="background1" w:themeFillShade="D9"/>
            <w:vAlign w:val="center"/>
          </w:tcPr>
          <w:p w14:paraId="2AAAA75C" w14:textId="77777777" w:rsidR="00CD50A7" w:rsidRDefault="00CD50A7" w:rsidP="0045537D">
            <w:pPr>
              <w:rPr>
                <w:rFonts w:asciiTheme="majorHAnsi" w:eastAsia="Times New Roman" w:hAnsiTheme="majorHAnsi" w:cstheme="majorHAnsi"/>
                <w:i/>
                <w:sz w:val="20"/>
                <w:szCs w:val="20"/>
                <w:lang w:eastAsia="en-AU"/>
              </w:rPr>
            </w:pPr>
            <w:r>
              <w:rPr>
                <w:rFonts w:asciiTheme="majorHAnsi" w:eastAsia="Times New Roman" w:hAnsiTheme="majorHAnsi" w:cstheme="majorHAnsi"/>
                <w:i/>
                <w:sz w:val="20"/>
                <w:szCs w:val="20"/>
                <w:lang w:eastAsia="en-AU"/>
              </w:rPr>
              <w:t>[B</w:t>
            </w:r>
            <w:r w:rsidRPr="00C1442D">
              <w:rPr>
                <w:rFonts w:asciiTheme="majorHAnsi" w:eastAsia="Times New Roman" w:hAnsiTheme="majorHAnsi" w:cstheme="majorHAnsi"/>
                <w:i/>
                <w:sz w:val="20"/>
                <w:szCs w:val="20"/>
                <w:lang w:eastAsia="en-AU"/>
              </w:rPr>
              <w:t>etween countries: median; IQR and range between countries</w:t>
            </w:r>
            <w:r>
              <w:rPr>
                <w:rFonts w:asciiTheme="majorHAnsi" w:eastAsia="Times New Roman" w:hAnsiTheme="majorHAnsi" w:cstheme="majorHAnsi"/>
                <w:i/>
                <w:sz w:val="20"/>
                <w:szCs w:val="20"/>
                <w:lang w:eastAsia="en-AU"/>
              </w:rPr>
              <w:t>]</w:t>
            </w:r>
          </w:p>
          <w:p w14:paraId="6FE33887" w14:textId="77777777" w:rsidR="00CD50A7" w:rsidRPr="00C1442D" w:rsidRDefault="00CD50A7" w:rsidP="0045537D">
            <w:pPr>
              <w:rPr>
                <w:rFonts w:asciiTheme="majorHAnsi" w:eastAsia="Times New Roman" w:hAnsiTheme="majorHAnsi" w:cstheme="majorHAnsi"/>
                <w:sz w:val="20"/>
                <w:szCs w:val="20"/>
                <w:lang w:eastAsia="en-AU"/>
              </w:rPr>
            </w:pPr>
            <w:r w:rsidRPr="00601B68">
              <w:rPr>
                <w:rFonts w:asciiTheme="majorHAnsi" w:eastAsia="Times New Roman" w:hAnsiTheme="majorHAnsi" w:cstheme="majorHAnsi"/>
                <w:i/>
                <w:sz w:val="20"/>
                <w:szCs w:val="20"/>
                <w:lang w:eastAsia="en-AU"/>
              </w:rPr>
              <w:t>Low income country (LC), lower-middle income country (LMC) and upper-middle income country (UMC) averages</w:t>
            </w:r>
          </w:p>
        </w:tc>
        <w:tc>
          <w:tcPr>
            <w:tcW w:w="6946" w:type="dxa"/>
            <w:shd w:val="clear" w:color="auto" w:fill="D9D9D9" w:themeFill="background1" w:themeFillShade="D9"/>
            <w:vAlign w:val="center"/>
          </w:tcPr>
          <w:p w14:paraId="7AFC9783" w14:textId="77777777" w:rsidR="00CD50A7" w:rsidRPr="00C1442D" w:rsidRDefault="00CD50A7" w:rsidP="0045537D">
            <w:pPr>
              <w:rPr>
                <w:rFonts w:asciiTheme="majorHAnsi" w:hAnsiTheme="majorHAnsi" w:cstheme="majorHAnsi"/>
                <w:sz w:val="20"/>
                <w:szCs w:val="20"/>
              </w:rPr>
            </w:pPr>
            <w:r w:rsidRPr="00C1442D">
              <w:rPr>
                <w:rFonts w:asciiTheme="majorHAnsi" w:eastAsia="Times New Roman" w:hAnsiTheme="majorHAnsi" w:cstheme="majorHAnsi"/>
                <w:sz w:val="20"/>
                <w:szCs w:val="20"/>
                <w:lang w:eastAsia="en-AU"/>
              </w:rPr>
              <w:t>Sources and notes</w:t>
            </w:r>
            <w:r>
              <w:rPr>
                <w:rFonts w:asciiTheme="majorHAnsi" w:eastAsia="Times New Roman" w:hAnsiTheme="majorHAnsi" w:cstheme="majorHAnsi"/>
                <w:sz w:val="20"/>
                <w:szCs w:val="20"/>
                <w:lang w:eastAsia="en-AU"/>
              </w:rPr>
              <w:t xml:space="preserve"> for calculating commodity and human resource cost components. Commodity costs have been marked up to include supply chain costs^. All costs have been inflated to 2020 US$.</w:t>
            </w:r>
          </w:p>
        </w:tc>
      </w:tr>
      <w:tr w:rsidR="00CD50A7" w:rsidRPr="00C1442D" w14:paraId="1CCE518D" w14:textId="77777777" w:rsidTr="0045537D">
        <w:trPr>
          <w:jc w:val="center"/>
        </w:trPr>
        <w:tc>
          <w:tcPr>
            <w:tcW w:w="2501" w:type="dxa"/>
            <w:vAlign w:val="center"/>
          </w:tcPr>
          <w:p w14:paraId="0388402F" w14:textId="77777777" w:rsidR="00CD50A7" w:rsidRPr="00C1442D" w:rsidRDefault="00CD50A7" w:rsidP="0045537D">
            <w:pPr>
              <w:rPr>
                <w:rFonts w:asciiTheme="majorHAnsi" w:eastAsia="Times New Roman" w:hAnsiTheme="majorHAnsi" w:cstheme="majorHAnsi"/>
                <w:sz w:val="20"/>
                <w:szCs w:val="20"/>
                <w:lang w:eastAsia="en-AU"/>
              </w:rPr>
            </w:pPr>
            <w:r>
              <w:rPr>
                <w:rFonts w:asciiTheme="majorHAnsi" w:eastAsia="Times New Roman" w:hAnsiTheme="majorHAnsi" w:cstheme="majorHAnsi"/>
                <w:sz w:val="20"/>
                <w:szCs w:val="20"/>
                <w:lang w:eastAsia="en-AU"/>
              </w:rPr>
              <w:lastRenderedPageBreak/>
              <w:t>N</w:t>
            </w:r>
            <w:r w:rsidRPr="001B6245">
              <w:rPr>
                <w:rFonts w:asciiTheme="majorHAnsi" w:eastAsia="Times New Roman" w:hAnsiTheme="majorHAnsi" w:cstheme="majorHAnsi"/>
                <w:sz w:val="20"/>
                <w:szCs w:val="20"/>
                <w:lang w:eastAsia="en-AU"/>
              </w:rPr>
              <w:t xml:space="preserve">utrition </w:t>
            </w:r>
            <w:r>
              <w:rPr>
                <w:rFonts w:asciiTheme="majorHAnsi" w:eastAsia="Times New Roman" w:hAnsiTheme="majorHAnsi" w:cstheme="majorHAnsi"/>
                <w:sz w:val="20"/>
                <w:szCs w:val="20"/>
                <w:lang w:eastAsia="en-AU"/>
              </w:rPr>
              <w:t>counselling / breastfeeding promotion</w:t>
            </w:r>
          </w:p>
        </w:tc>
        <w:tc>
          <w:tcPr>
            <w:tcW w:w="1141" w:type="dxa"/>
            <w:vAlign w:val="center"/>
          </w:tcPr>
          <w:p w14:paraId="1D130F43" w14:textId="77777777" w:rsidR="00CD50A7" w:rsidRPr="00C1442D" w:rsidRDefault="00CD50A7" w:rsidP="0045537D">
            <w:pPr>
              <w:jc w:val="center"/>
              <w:rPr>
                <w:rFonts w:asciiTheme="majorHAnsi" w:hAnsiTheme="majorHAnsi" w:cstheme="majorHAnsi"/>
                <w:color w:val="000000"/>
                <w:sz w:val="20"/>
                <w:szCs w:val="20"/>
              </w:rPr>
            </w:pPr>
            <w:r w:rsidRPr="00C1442D">
              <w:rPr>
                <w:rFonts w:asciiTheme="majorHAnsi" w:hAnsiTheme="majorHAnsi" w:cstheme="majorHAnsi"/>
                <w:color w:val="000000"/>
                <w:sz w:val="20"/>
                <w:szCs w:val="20"/>
              </w:rPr>
              <w:t>US$</w:t>
            </w:r>
            <w:r>
              <w:rPr>
                <w:rFonts w:asciiTheme="majorHAnsi" w:hAnsiTheme="majorHAnsi" w:cstheme="majorHAnsi"/>
                <w:color w:val="000000"/>
                <w:sz w:val="20"/>
                <w:szCs w:val="20"/>
              </w:rPr>
              <w:t>8.07</w:t>
            </w:r>
          </w:p>
        </w:tc>
        <w:tc>
          <w:tcPr>
            <w:tcW w:w="4008" w:type="dxa"/>
            <w:gridSpan w:val="2"/>
          </w:tcPr>
          <w:p w14:paraId="7F3D3C0D" w14:textId="77777777" w:rsidR="00CD50A7" w:rsidRDefault="00CD50A7" w:rsidP="0045537D">
            <w:pPr>
              <w:rPr>
                <w:rFonts w:asciiTheme="majorHAnsi" w:hAnsiTheme="majorHAnsi" w:cstheme="majorHAnsi"/>
                <w:color w:val="000000"/>
                <w:sz w:val="20"/>
                <w:szCs w:val="20"/>
              </w:rPr>
            </w:pPr>
          </w:p>
          <w:p w14:paraId="6B35C032" w14:textId="77777777" w:rsidR="00CD50A7" w:rsidRDefault="00CD50A7" w:rsidP="0045537D">
            <w:pPr>
              <w:rPr>
                <w:rFonts w:asciiTheme="majorHAnsi" w:hAnsiTheme="majorHAnsi" w:cstheme="majorHAnsi"/>
                <w:color w:val="000000"/>
                <w:sz w:val="20"/>
                <w:szCs w:val="20"/>
              </w:rPr>
            </w:pPr>
          </w:p>
          <w:p w14:paraId="081B3993" w14:textId="77777777" w:rsidR="00CD50A7" w:rsidRPr="00C1442D" w:rsidRDefault="00CD50A7" w:rsidP="0045537D">
            <w:pPr>
              <w:rPr>
                <w:rFonts w:asciiTheme="majorHAnsi" w:eastAsia="Times New Roman" w:hAnsiTheme="majorHAnsi" w:cstheme="majorHAnsi"/>
                <w:sz w:val="20"/>
                <w:szCs w:val="20"/>
                <w:lang w:eastAsia="en-AU"/>
              </w:rPr>
            </w:pPr>
            <w:r w:rsidRPr="00DF2B55">
              <w:rPr>
                <w:rFonts w:asciiTheme="majorHAnsi" w:hAnsiTheme="majorHAnsi" w:cstheme="majorHAnsi"/>
                <w:color w:val="000000"/>
                <w:sz w:val="20"/>
                <w:szCs w:val="20"/>
              </w:rPr>
              <w:t>Between countries: median=US$5.8; IQR=US$2.29-11.2; range=US$0.7-34.73 [LC average=US$1.66, LMC average=US$5.64, UMC average=US$15.47]</w:t>
            </w:r>
          </w:p>
        </w:tc>
        <w:tc>
          <w:tcPr>
            <w:tcW w:w="6946" w:type="dxa"/>
            <w:vAlign w:val="center"/>
          </w:tcPr>
          <w:p w14:paraId="177C762D" w14:textId="68ED0C57" w:rsidR="00CD50A7" w:rsidRPr="00C1442D" w:rsidRDefault="00CD50A7" w:rsidP="0045537D">
            <w:pPr>
              <w:rPr>
                <w:rFonts w:asciiTheme="majorHAnsi" w:hAnsiTheme="majorHAnsi" w:cstheme="majorHAnsi"/>
                <w:sz w:val="20"/>
                <w:szCs w:val="20"/>
              </w:rPr>
            </w:pPr>
            <w:r w:rsidRPr="008F21FA">
              <w:rPr>
                <w:rFonts w:asciiTheme="majorHAnsi" w:eastAsia="Times New Roman" w:hAnsiTheme="majorHAnsi" w:cstheme="majorHAnsi"/>
                <w:sz w:val="20"/>
                <w:szCs w:val="20"/>
                <w:lang w:eastAsia="en-AU"/>
              </w:rPr>
              <w:t xml:space="preserve">Cost per child per annum. Country-specific estimates calculated by scaling the cost interval from </w:t>
            </w:r>
            <w:r w:rsidRPr="008F21FA">
              <w:rPr>
                <w:rStyle w:val="fn"/>
                <w:rFonts w:asciiTheme="majorHAnsi" w:hAnsiTheme="majorHAnsi" w:cstheme="majorHAnsi"/>
                <w:iCs/>
                <w:sz w:val="20"/>
                <w:szCs w:val="20"/>
              </w:rPr>
              <w:t>Shekar et al. investment framework for nutrition</w:t>
            </w:r>
            <w:r w:rsidR="004533D0">
              <w:rPr>
                <w:rStyle w:val="fn"/>
                <w:rFonts w:asciiTheme="majorHAnsi" w:hAnsiTheme="majorHAnsi" w:cstheme="majorHAnsi"/>
                <w:iCs/>
                <w:sz w:val="20"/>
                <w:szCs w:val="20"/>
              </w:rPr>
              <w:fldChar w:fldCharType="begin" w:fldLock="1"/>
            </w:r>
            <w:r w:rsidR="004533D0">
              <w:rPr>
                <w:rStyle w:val="fn"/>
                <w:rFonts w:asciiTheme="majorHAnsi" w:hAnsiTheme="majorHAnsi" w:cstheme="majorHAnsi"/>
                <w:iCs/>
                <w:sz w:val="20"/>
                <w:szCs w:val="20"/>
              </w:rPr>
              <w:instrText>ADDIN CSL_CITATION {"citationItems":[{"id":"ITEM-1","itemData":{"DOI":"10.1596/978-1-4648-1010-7","abstract":"Current estimates suggest that all forms of malnutrition (undernutrition, micronutrient deficiencies, and overweight) cost the global economy an estimated $3.5 trillion per year, or $500 per individual, creating a major impediment for governments in their efforts to reduce poverty and create thriving and prosperous communities (Global Panel 2016). Unlike investments in physical infrastructure, investments intended to reduce malnutrition generate benefits that are durable, inalienable, and portable. These investments also fuel progress toward all 17 development goals delineated in the Sustainable Development Goals (SDGs), including education and alleviating poverty. Why is this so? Ensuring optimum nutrition—particularly early in life—can permanently alter an individual's development trajectory and maximize her or his pro-ductive potential. As of 2015, 159 million children were chronically malnourished, as measured by stunting or low height for age, which means that they are at risk of failing to achieve their own genetic potential not only for physical but also for cognitive development. Childhood stunting has lifelong consequences not just for health but also for human capital, poverty, and equity.","author":[{"dropping-particle":"","family":"Shekar","given":"Meera","non-dropping-particle":"","parse-names":false,"suffix":""},{"dropping-particle":"","family":"Kakietek","given":"Jakub","non-dropping-particle":"","parse-names":false,"suffix":""},{"dropping-particle":"","family":"Dayton Eberwein","given":"Julia","non-dropping-particle":"","parse-names":false,"suffix":""},{"dropping-particle":"","family":"Walters","given":"Dylan","non-dropping-particle":"","parse-names":false,"suffix":""}],"container-title":"An Investment Framework for Nutrition: Reaching the Global Targets for Stunting, Anemia, Breastfeeding, and Wasting","id":"ITEM-1","issued":{"date-parts":[["2017"]]},"title":"An Investment Framework for Nutrition: Reaching the Global Targets for Stunting, Anemia, Breastfeeding, and Wasting","type":"book"},"uris":["http://www.mendeley.com/documents/?uuid=6e39b12f-eb25-4296-99ab-e20ec39082a7"]}],"mendeley":{"formattedCitation":"&lt;sup&gt;1&lt;/sup&gt;","plainTextFormattedCitation":"1","previouslyFormattedCitation":"&lt;sup&gt;1&lt;/sup&gt;"},"properties":{"noteIndex":0},"schema":"https://github.com/citation-style-language/schema/raw/master/csl-citation.json"}</w:instrText>
            </w:r>
            <w:r w:rsidR="004533D0">
              <w:rPr>
                <w:rStyle w:val="fn"/>
                <w:rFonts w:asciiTheme="majorHAnsi" w:hAnsiTheme="majorHAnsi" w:cstheme="majorHAnsi"/>
                <w:iCs/>
                <w:sz w:val="20"/>
                <w:szCs w:val="20"/>
              </w:rPr>
              <w:fldChar w:fldCharType="separate"/>
            </w:r>
            <w:r w:rsidR="004533D0" w:rsidRPr="004533D0">
              <w:rPr>
                <w:rStyle w:val="fn"/>
                <w:rFonts w:asciiTheme="majorHAnsi" w:hAnsiTheme="majorHAnsi" w:cstheme="majorHAnsi"/>
                <w:iCs/>
                <w:noProof/>
                <w:sz w:val="20"/>
                <w:szCs w:val="20"/>
                <w:vertAlign w:val="superscript"/>
              </w:rPr>
              <w:t>1</w:t>
            </w:r>
            <w:r w:rsidR="004533D0">
              <w:rPr>
                <w:rStyle w:val="fn"/>
                <w:rFonts w:asciiTheme="majorHAnsi" w:hAnsiTheme="majorHAnsi" w:cstheme="majorHAnsi"/>
                <w:iCs/>
                <w:sz w:val="20"/>
                <w:szCs w:val="20"/>
              </w:rPr>
              <w:fldChar w:fldCharType="end"/>
            </w:r>
            <w:r>
              <w:rPr>
                <w:rStyle w:val="fn"/>
                <w:rFonts w:asciiTheme="majorHAnsi" w:hAnsiTheme="majorHAnsi" w:cstheme="majorHAnsi"/>
                <w:bCs/>
                <w:iCs/>
                <w:sz w:val="20"/>
                <w:szCs w:val="20"/>
              </w:rPr>
              <w:t xml:space="preserve"> </w:t>
            </w:r>
            <w:r w:rsidRPr="008F21FA">
              <w:rPr>
                <w:rStyle w:val="fn"/>
                <w:rFonts w:asciiTheme="majorHAnsi" w:hAnsiTheme="majorHAnsi" w:cstheme="majorHAnsi"/>
                <w:bCs/>
                <w:iCs/>
                <w:sz w:val="20"/>
                <w:szCs w:val="20"/>
              </w:rPr>
              <w:t xml:space="preserve"> according to the range of per capita GDP for the 129 countries. i.e., the lowest cost estimate from Shekar et al</w:t>
            </w:r>
            <w:r w:rsidR="004533D0">
              <w:rPr>
                <w:rStyle w:val="fn"/>
                <w:rFonts w:asciiTheme="majorHAnsi" w:hAnsiTheme="majorHAnsi" w:cstheme="majorHAnsi"/>
                <w:bCs/>
                <w:iCs/>
                <w:sz w:val="20"/>
                <w:szCs w:val="20"/>
              </w:rPr>
              <w:fldChar w:fldCharType="begin" w:fldLock="1"/>
            </w:r>
            <w:r w:rsidR="004533D0">
              <w:rPr>
                <w:rStyle w:val="fn"/>
                <w:rFonts w:asciiTheme="majorHAnsi" w:hAnsiTheme="majorHAnsi" w:cstheme="majorHAnsi"/>
                <w:bCs/>
                <w:iCs/>
                <w:sz w:val="20"/>
                <w:szCs w:val="20"/>
              </w:rPr>
              <w:instrText>ADDIN CSL_CITATION {"citationItems":[{"id":"ITEM-1","itemData":{"DOI":"10.1596/978-1-4648-1010-7","abstract":"Current estimates suggest that all forms of malnutrition (undernutrition, micronutrient deficiencies, and overweight) cost the global economy an estimated $3.5 trillion per year, or $500 per individual, creating a major impediment for governments in their efforts to reduce poverty and create thriving and prosperous communities (Global Panel 2016). Unlike investments in physical infrastructure, investments intended to reduce malnutrition generate benefits that are durable, inalienable, and portable. These investments also fuel progress toward all 17 development goals delineated in the Sustainable Development Goals (SDGs), including education and alleviating poverty. Why is this so? Ensuring optimum nutrition—particularly early in life—can permanently alter an individual's development trajectory and maximize her or his pro-ductive potential. As of 2015, 159 million children were chronically malnourished, as measured by stunting or low height for age, which means that they are at risk of failing to achieve their own genetic potential not only for physical but also for cognitive development. Childhood stunting has lifelong consequences not just for health but also for human capital, poverty, and equity.","author":[{"dropping-particle":"","family":"Shekar","given":"Meera","non-dropping-particle":"","parse-names":false,"suffix":""},{"dropping-particle":"","family":"Kakietek","given":"Jakub","non-dropping-particle":"","parse-names":false,"suffix":""},{"dropping-particle":"","family":"Dayton Eberwein","given":"Julia","non-dropping-particle":"","parse-names":false,"suffix":""},{"dropping-particle":"","family":"Walters","given":"Dylan","non-dropping-particle":"","parse-names":false,"suffix":""}],"container-title":"An Investment Framework for Nutrition: Reaching the Global Targets for Stunting, Anemia, Breastfeeding, and Wasting","id":"ITEM-1","issued":{"date-parts":[["2017"]]},"title":"An Investment Framework for Nutrition: Reaching the Global Targets for Stunting, Anemia, Breastfeeding, and Wasting","type":"book"},"uris":["http://www.mendeley.com/documents/?uuid=6e39b12f-eb25-4296-99ab-e20ec39082a7"]}],"mendeley":{"formattedCitation":"&lt;sup&gt;1&lt;/sup&gt;","plainTextFormattedCitation":"1","previouslyFormattedCitation":"&lt;sup&gt;1&lt;/sup&gt;"},"properties":{"noteIndex":0},"schema":"https://github.com/citation-style-language/schema/raw/master/csl-citation.json"}</w:instrText>
            </w:r>
            <w:r w:rsidR="004533D0">
              <w:rPr>
                <w:rStyle w:val="fn"/>
                <w:rFonts w:asciiTheme="majorHAnsi" w:hAnsiTheme="majorHAnsi" w:cstheme="majorHAnsi"/>
                <w:bCs/>
                <w:iCs/>
                <w:sz w:val="20"/>
                <w:szCs w:val="20"/>
              </w:rPr>
              <w:fldChar w:fldCharType="separate"/>
            </w:r>
            <w:r w:rsidR="004533D0" w:rsidRPr="004533D0">
              <w:rPr>
                <w:rStyle w:val="fn"/>
                <w:rFonts w:asciiTheme="majorHAnsi" w:hAnsiTheme="majorHAnsi" w:cstheme="majorHAnsi"/>
                <w:bCs/>
                <w:iCs/>
                <w:noProof/>
                <w:sz w:val="20"/>
                <w:szCs w:val="20"/>
                <w:vertAlign w:val="superscript"/>
              </w:rPr>
              <w:t>1</w:t>
            </w:r>
            <w:r w:rsidR="004533D0">
              <w:rPr>
                <w:rStyle w:val="fn"/>
                <w:rFonts w:asciiTheme="majorHAnsi" w:hAnsiTheme="majorHAnsi" w:cstheme="majorHAnsi"/>
                <w:bCs/>
                <w:iCs/>
                <w:sz w:val="20"/>
                <w:szCs w:val="20"/>
              </w:rPr>
              <w:fldChar w:fldCharType="end"/>
            </w:r>
            <w:r w:rsidRPr="008F21FA">
              <w:rPr>
                <w:rStyle w:val="fn"/>
                <w:rFonts w:asciiTheme="majorHAnsi" w:hAnsiTheme="majorHAnsi" w:cstheme="majorHAnsi"/>
                <w:bCs/>
                <w:iCs/>
                <w:sz w:val="20"/>
                <w:szCs w:val="20"/>
              </w:rPr>
              <w:t>. is assumed to be for the country with the lowest GDP per capita, the highest cost estimate for the country with the highest GDP per capita, and cost estimates for each country in between are scaled according to where their GDP per capita falls in the range between the lowest and highest values.</w:t>
            </w:r>
          </w:p>
        </w:tc>
      </w:tr>
      <w:tr w:rsidR="00CD50A7" w:rsidRPr="00C1442D" w14:paraId="6094D231" w14:textId="77777777" w:rsidTr="0045537D">
        <w:trPr>
          <w:jc w:val="center"/>
        </w:trPr>
        <w:tc>
          <w:tcPr>
            <w:tcW w:w="2501" w:type="dxa"/>
            <w:vAlign w:val="center"/>
          </w:tcPr>
          <w:p w14:paraId="321B405A" w14:textId="77777777" w:rsidR="00CD50A7" w:rsidRPr="00C1442D" w:rsidRDefault="00CD50A7" w:rsidP="0045537D">
            <w:pPr>
              <w:rPr>
                <w:rFonts w:asciiTheme="majorHAnsi" w:eastAsia="Times New Roman" w:hAnsiTheme="majorHAnsi" w:cstheme="majorHAnsi"/>
                <w:sz w:val="20"/>
                <w:szCs w:val="20"/>
                <w:lang w:eastAsia="en-AU"/>
              </w:rPr>
            </w:pPr>
            <w:r>
              <w:rPr>
                <w:rFonts w:asciiTheme="majorHAnsi" w:eastAsia="Times New Roman" w:hAnsiTheme="majorHAnsi" w:cstheme="majorHAnsi"/>
                <w:sz w:val="20"/>
                <w:szCs w:val="20"/>
                <w:lang w:eastAsia="en-AU"/>
              </w:rPr>
              <w:t>Kangaroo mother care</w:t>
            </w:r>
          </w:p>
        </w:tc>
        <w:tc>
          <w:tcPr>
            <w:tcW w:w="1141" w:type="dxa"/>
            <w:vAlign w:val="center"/>
          </w:tcPr>
          <w:p w14:paraId="5A808407" w14:textId="77777777" w:rsidR="00CD50A7" w:rsidRPr="00C1442D" w:rsidRDefault="00CD50A7" w:rsidP="0045537D">
            <w:pPr>
              <w:jc w:val="center"/>
              <w:rPr>
                <w:rFonts w:asciiTheme="majorHAnsi" w:eastAsia="Times New Roman" w:hAnsiTheme="majorHAnsi" w:cstheme="majorHAnsi"/>
                <w:sz w:val="20"/>
                <w:szCs w:val="20"/>
                <w:lang w:eastAsia="en-AU"/>
              </w:rPr>
            </w:pPr>
            <w:r w:rsidRPr="00C1442D">
              <w:rPr>
                <w:rFonts w:asciiTheme="majorHAnsi" w:hAnsiTheme="majorHAnsi" w:cstheme="majorHAnsi"/>
                <w:color w:val="000000"/>
                <w:sz w:val="20"/>
                <w:szCs w:val="20"/>
              </w:rPr>
              <w:t>US$</w:t>
            </w:r>
            <w:r>
              <w:rPr>
                <w:rFonts w:asciiTheme="majorHAnsi" w:hAnsiTheme="majorHAnsi" w:cstheme="majorHAnsi"/>
                <w:color w:val="000000"/>
                <w:sz w:val="20"/>
                <w:szCs w:val="20"/>
              </w:rPr>
              <w:t>19.90</w:t>
            </w:r>
          </w:p>
        </w:tc>
        <w:tc>
          <w:tcPr>
            <w:tcW w:w="4008" w:type="dxa"/>
            <w:gridSpan w:val="2"/>
          </w:tcPr>
          <w:p w14:paraId="0F55D763" w14:textId="77777777" w:rsidR="00CD50A7" w:rsidRPr="00C1442D" w:rsidRDefault="00CD50A7" w:rsidP="0045537D">
            <w:pPr>
              <w:rPr>
                <w:rFonts w:asciiTheme="majorHAnsi" w:hAnsiTheme="majorHAnsi" w:cstheme="majorHAnsi"/>
                <w:sz w:val="20"/>
                <w:szCs w:val="20"/>
              </w:rPr>
            </w:pPr>
            <w:r w:rsidRPr="00DF2B55">
              <w:rPr>
                <w:rFonts w:asciiTheme="majorHAnsi" w:hAnsiTheme="majorHAnsi" w:cstheme="majorHAnsi"/>
                <w:sz w:val="20"/>
                <w:szCs w:val="20"/>
              </w:rPr>
              <w:t>Between countries: median=US$0.15; IQR=US$0.15-0.15; range=US$0.15-0.15 [LC average=US$0.15, LMC average=US$0.15, UMC average=US$0.15]</w:t>
            </w:r>
          </w:p>
        </w:tc>
        <w:tc>
          <w:tcPr>
            <w:tcW w:w="6946" w:type="dxa"/>
            <w:vAlign w:val="center"/>
          </w:tcPr>
          <w:p w14:paraId="6B34B872" w14:textId="77777777" w:rsidR="00CD50A7" w:rsidRPr="00C1442D" w:rsidRDefault="00CD50A7" w:rsidP="0045537D">
            <w:pPr>
              <w:rPr>
                <w:rFonts w:asciiTheme="majorHAnsi" w:hAnsiTheme="majorHAnsi" w:cstheme="majorHAnsi"/>
                <w:sz w:val="20"/>
                <w:szCs w:val="20"/>
              </w:rPr>
            </w:pPr>
            <w:r w:rsidRPr="00C1442D">
              <w:rPr>
                <w:rFonts w:asciiTheme="majorHAnsi" w:eastAsia="Times New Roman" w:hAnsiTheme="majorHAnsi" w:cstheme="majorHAnsi"/>
                <w:sz w:val="20"/>
                <w:szCs w:val="20"/>
                <w:lang w:eastAsia="en-AU"/>
              </w:rPr>
              <w:t>Cost per preterm birth. Assumes 60 minutes of specific health provider time per preterm birth + and nurses/midwives receive training every 5 years</w:t>
            </w:r>
            <w:r>
              <w:rPr>
                <w:rFonts w:asciiTheme="majorHAnsi" w:eastAsia="Times New Roman" w:hAnsiTheme="majorHAnsi" w:cstheme="majorHAnsi"/>
                <w:sz w:val="20"/>
                <w:szCs w:val="20"/>
                <w:lang w:eastAsia="en-AU"/>
              </w:rPr>
              <w:t>^^</w:t>
            </w:r>
            <w:r w:rsidRPr="00C1442D">
              <w:rPr>
                <w:rFonts w:asciiTheme="majorHAnsi" w:eastAsia="Times New Roman" w:hAnsiTheme="majorHAnsi" w:cstheme="majorHAnsi"/>
                <w:sz w:val="20"/>
                <w:szCs w:val="20"/>
                <w:lang w:eastAsia="en-AU"/>
              </w:rPr>
              <w:t>.</w:t>
            </w:r>
          </w:p>
        </w:tc>
      </w:tr>
      <w:tr w:rsidR="00CD50A7" w:rsidRPr="00C1442D" w14:paraId="498D27E4" w14:textId="77777777" w:rsidTr="0045537D">
        <w:trPr>
          <w:jc w:val="center"/>
        </w:trPr>
        <w:tc>
          <w:tcPr>
            <w:tcW w:w="2501" w:type="dxa"/>
            <w:vAlign w:val="center"/>
          </w:tcPr>
          <w:p w14:paraId="4850877A" w14:textId="77777777" w:rsidR="00CD50A7" w:rsidRPr="00C1442D" w:rsidRDefault="00CD50A7" w:rsidP="0045537D">
            <w:pPr>
              <w:rPr>
                <w:rFonts w:asciiTheme="majorHAnsi" w:eastAsia="Times New Roman" w:hAnsiTheme="majorHAnsi" w:cstheme="majorHAnsi"/>
                <w:sz w:val="20"/>
                <w:szCs w:val="20"/>
                <w:lang w:eastAsia="en-AU"/>
              </w:rPr>
            </w:pPr>
            <w:r>
              <w:rPr>
                <w:rFonts w:asciiTheme="majorHAnsi" w:eastAsia="Times New Roman" w:hAnsiTheme="majorHAnsi" w:cstheme="majorHAnsi"/>
                <w:sz w:val="20"/>
                <w:szCs w:val="20"/>
                <w:lang w:eastAsia="en-AU"/>
              </w:rPr>
              <w:t>N</w:t>
            </w:r>
            <w:r w:rsidRPr="001B6245">
              <w:rPr>
                <w:rFonts w:asciiTheme="majorHAnsi" w:eastAsia="Times New Roman" w:hAnsiTheme="majorHAnsi" w:cstheme="majorHAnsi"/>
                <w:sz w:val="20"/>
                <w:szCs w:val="20"/>
                <w:lang w:eastAsia="en-AU"/>
              </w:rPr>
              <w:t xml:space="preserve">utrition </w:t>
            </w:r>
            <w:proofErr w:type="spellStart"/>
            <w:r w:rsidRPr="001B6245">
              <w:rPr>
                <w:rFonts w:asciiTheme="majorHAnsi" w:eastAsia="Times New Roman" w:hAnsiTheme="majorHAnsi" w:cstheme="majorHAnsi"/>
                <w:sz w:val="20"/>
                <w:szCs w:val="20"/>
                <w:lang w:eastAsia="en-AU"/>
              </w:rPr>
              <w:t>counseling</w:t>
            </w:r>
            <w:proofErr w:type="spellEnd"/>
            <w:r w:rsidRPr="001B6245">
              <w:rPr>
                <w:rFonts w:asciiTheme="majorHAnsi" w:eastAsia="Times New Roman" w:hAnsiTheme="majorHAnsi" w:cstheme="majorHAnsi"/>
                <w:sz w:val="20"/>
                <w:szCs w:val="20"/>
                <w:lang w:eastAsia="en-AU"/>
              </w:rPr>
              <w:t xml:space="preserve"> + provision of different forms of complementary foods in food insecure h</w:t>
            </w:r>
            <w:r>
              <w:rPr>
                <w:rFonts w:asciiTheme="majorHAnsi" w:eastAsia="Times New Roman" w:hAnsiTheme="majorHAnsi" w:cstheme="majorHAnsi"/>
                <w:sz w:val="20"/>
                <w:szCs w:val="20"/>
                <w:lang w:eastAsia="en-AU"/>
              </w:rPr>
              <w:t>ouseholds</w:t>
            </w:r>
          </w:p>
        </w:tc>
        <w:tc>
          <w:tcPr>
            <w:tcW w:w="1141" w:type="dxa"/>
            <w:vAlign w:val="center"/>
          </w:tcPr>
          <w:p w14:paraId="546A3FD1" w14:textId="77777777" w:rsidR="00CD50A7" w:rsidRPr="00C1442D" w:rsidRDefault="00CD50A7" w:rsidP="0045537D">
            <w:pPr>
              <w:jc w:val="center"/>
              <w:rPr>
                <w:rFonts w:asciiTheme="majorHAnsi" w:eastAsia="Times New Roman" w:hAnsiTheme="majorHAnsi" w:cstheme="majorHAnsi"/>
                <w:sz w:val="20"/>
                <w:szCs w:val="20"/>
                <w:lang w:eastAsia="en-AU"/>
              </w:rPr>
            </w:pPr>
            <w:r w:rsidRPr="00C1442D">
              <w:rPr>
                <w:rFonts w:asciiTheme="majorHAnsi" w:hAnsiTheme="majorHAnsi" w:cstheme="majorHAnsi"/>
                <w:color w:val="000000"/>
                <w:sz w:val="20"/>
                <w:szCs w:val="20"/>
              </w:rPr>
              <w:t>US</w:t>
            </w:r>
            <w:r>
              <w:rPr>
                <w:rFonts w:asciiTheme="majorHAnsi" w:hAnsiTheme="majorHAnsi" w:cstheme="majorHAnsi"/>
                <w:color w:val="000000"/>
                <w:sz w:val="20"/>
                <w:szCs w:val="20"/>
              </w:rPr>
              <w:t>$107.32</w:t>
            </w:r>
          </w:p>
        </w:tc>
        <w:tc>
          <w:tcPr>
            <w:tcW w:w="4008" w:type="dxa"/>
            <w:gridSpan w:val="2"/>
          </w:tcPr>
          <w:p w14:paraId="0B1F0F5E" w14:textId="77777777" w:rsidR="00CD50A7" w:rsidRPr="00C1442D" w:rsidRDefault="00CD50A7" w:rsidP="0045537D">
            <w:pPr>
              <w:rPr>
                <w:rFonts w:asciiTheme="majorHAnsi" w:hAnsiTheme="majorHAnsi" w:cstheme="majorHAnsi"/>
                <w:sz w:val="20"/>
                <w:szCs w:val="20"/>
              </w:rPr>
            </w:pPr>
            <w:r w:rsidRPr="00DF2B55">
              <w:rPr>
                <w:rFonts w:asciiTheme="majorHAnsi" w:hAnsiTheme="majorHAnsi" w:cstheme="majorHAnsi"/>
                <w:color w:val="000000"/>
                <w:sz w:val="20"/>
                <w:szCs w:val="20"/>
              </w:rPr>
              <w:t>Between countries: median=US$92.78; IQR=US$70.35-127.34; range=US$60.18-277.87 [LC average=US$66.28, LMC average=US$91.76, UMC average=US$154.67]</w:t>
            </w:r>
          </w:p>
        </w:tc>
        <w:tc>
          <w:tcPr>
            <w:tcW w:w="6946" w:type="dxa"/>
            <w:vAlign w:val="center"/>
          </w:tcPr>
          <w:p w14:paraId="419D45D7" w14:textId="77777777" w:rsidR="00CD50A7" w:rsidRPr="00F81ACB" w:rsidRDefault="00CD50A7" w:rsidP="0045537D">
            <w:pPr>
              <w:rPr>
                <w:rFonts w:asciiTheme="majorHAnsi" w:hAnsiTheme="majorHAnsi" w:cstheme="majorHAnsi"/>
                <w:b/>
                <w:sz w:val="20"/>
                <w:szCs w:val="20"/>
              </w:rPr>
            </w:pPr>
            <w:r w:rsidRPr="00F81ACB">
              <w:rPr>
                <w:rFonts w:asciiTheme="majorHAnsi" w:eastAsia="Times New Roman" w:hAnsiTheme="majorHAnsi" w:cstheme="majorHAnsi"/>
                <w:sz w:val="20"/>
                <w:szCs w:val="20"/>
                <w:lang w:eastAsia="en-AU"/>
              </w:rPr>
              <w:t xml:space="preserve">Cost per child per annum. Country-specific estimates calculated by scaling the cost interval from </w:t>
            </w:r>
            <w:r w:rsidRPr="00F81ACB">
              <w:rPr>
                <w:rStyle w:val="fn"/>
                <w:rFonts w:asciiTheme="majorHAnsi" w:hAnsiTheme="majorHAnsi" w:cstheme="majorHAnsi"/>
                <w:iCs/>
                <w:sz w:val="20"/>
                <w:szCs w:val="20"/>
              </w:rPr>
              <w:t>Shekar et al. investment framework for nutrition</w:t>
            </w:r>
            <w:r w:rsidRPr="00F81ACB">
              <w:rPr>
                <w:rStyle w:val="fn"/>
                <w:rFonts w:asciiTheme="majorHAnsi" w:hAnsiTheme="majorHAnsi" w:cstheme="majorHAnsi"/>
                <w:bCs/>
                <w:iCs/>
                <w:sz w:val="20"/>
                <w:szCs w:val="20"/>
              </w:rPr>
              <w:t xml:space="preserve"> as</w:t>
            </w:r>
            <w:r w:rsidRPr="00F81ACB">
              <w:rPr>
                <w:rStyle w:val="fn"/>
                <w:rFonts w:asciiTheme="majorHAnsi" w:hAnsiTheme="majorHAnsi" w:cstheme="majorHAnsi"/>
                <w:bCs/>
                <w:iCs/>
              </w:rPr>
              <w:t xml:space="preserve"> </w:t>
            </w:r>
            <w:r w:rsidRPr="00F81ACB">
              <w:rPr>
                <w:rStyle w:val="fn"/>
                <w:rFonts w:asciiTheme="majorHAnsi" w:hAnsiTheme="majorHAnsi" w:cstheme="majorHAnsi"/>
                <w:bCs/>
                <w:iCs/>
                <w:sz w:val="20"/>
                <w:szCs w:val="20"/>
              </w:rPr>
              <w:t>for IYCF education.</w:t>
            </w:r>
          </w:p>
        </w:tc>
      </w:tr>
      <w:tr w:rsidR="00CD50A7" w:rsidRPr="00C1442D" w14:paraId="77885DDC" w14:textId="77777777" w:rsidTr="0045537D">
        <w:trPr>
          <w:jc w:val="center"/>
        </w:trPr>
        <w:tc>
          <w:tcPr>
            <w:tcW w:w="2501" w:type="dxa"/>
            <w:vAlign w:val="center"/>
          </w:tcPr>
          <w:p w14:paraId="4740270D" w14:textId="77777777" w:rsidR="00CD50A7" w:rsidRPr="00C1442D" w:rsidRDefault="00CD50A7" w:rsidP="0045537D">
            <w:pPr>
              <w:rPr>
                <w:rFonts w:asciiTheme="majorHAnsi" w:eastAsia="Times New Roman" w:hAnsiTheme="majorHAnsi" w:cstheme="majorHAnsi"/>
                <w:sz w:val="20"/>
                <w:szCs w:val="20"/>
                <w:lang w:eastAsia="en-AU"/>
              </w:rPr>
            </w:pPr>
            <w:r w:rsidRPr="00C1442D">
              <w:rPr>
                <w:rFonts w:asciiTheme="majorHAnsi" w:eastAsia="Times New Roman" w:hAnsiTheme="majorHAnsi" w:cstheme="majorHAnsi"/>
                <w:sz w:val="20"/>
                <w:szCs w:val="20"/>
                <w:lang w:eastAsia="en-AU"/>
              </w:rPr>
              <w:t xml:space="preserve">Treatment of </w:t>
            </w:r>
            <w:r>
              <w:rPr>
                <w:rFonts w:asciiTheme="majorHAnsi" w:eastAsia="Times New Roman" w:hAnsiTheme="majorHAnsi" w:cstheme="majorHAnsi"/>
                <w:sz w:val="20"/>
                <w:szCs w:val="20"/>
                <w:lang w:eastAsia="en-AU"/>
              </w:rPr>
              <w:t>SAM</w:t>
            </w:r>
          </w:p>
        </w:tc>
        <w:tc>
          <w:tcPr>
            <w:tcW w:w="1141" w:type="dxa"/>
            <w:vAlign w:val="center"/>
          </w:tcPr>
          <w:p w14:paraId="0326F3AB" w14:textId="77777777" w:rsidR="00CD50A7" w:rsidRPr="00C1442D" w:rsidRDefault="00CD50A7" w:rsidP="0045537D">
            <w:pPr>
              <w:jc w:val="center"/>
              <w:rPr>
                <w:rFonts w:asciiTheme="majorHAnsi" w:eastAsia="Times New Roman" w:hAnsiTheme="majorHAnsi" w:cstheme="majorHAnsi"/>
                <w:sz w:val="20"/>
                <w:szCs w:val="20"/>
                <w:lang w:eastAsia="en-AU"/>
              </w:rPr>
            </w:pPr>
            <w:r w:rsidRPr="00C1442D">
              <w:rPr>
                <w:rFonts w:asciiTheme="majorHAnsi" w:hAnsiTheme="majorHAnsi" w:cstheme="majorHAnsi"/>
                <w:color w:val="000000"/>
                <w:sz w:val="20"/>
                <w:szCs w:val="20"/>
              </w:rPr>
              <w:t>US$</w:t>
            </w:r>
            <w:r>
              <w:rPr>
                <w:rFonts w:asciiTheme="majorHAnsi" w:hAnsiTheme="majorHAnsi" w:cstheme="majorHAnsi"/>
                <w:color w:val="000000"/>
                <w:sz w:val="20"/>
                <w:szCs w:val="20"/>
              </w:rPr>
              <w:t>267.60</w:t>
            </w:r>
          </w:p>
        </w:tc>
        <w:tc>
          <w:tcPr>
            <w:tcW w:w="4008" w:type="dxa"/>
            <w:gridSpan w:val="2"/>
          </w:tcPr>
          <w:p w14:paraId="085EA7B7" w14:textId="77777777" w:rsidR="00CD50A7" w:rsidRPr="00C1442D" w:rsidRDefault="00CD50A7" w:rsidP="0045537D">
            <w:pPr>
              <w:rPr>
                <w:rFonts w:asciiTheme="majorHAnsi" w:hAnsiTheme="majorHAnsi" w:cstheme="majorHAnsi"/>
                <w:sz w:val="20"/>
                <w:szCs w:val="20"/>
              </w:rPr>
            </w:pPr>
            <w:r w:rsidRPr="00DF2B55">
              <w:rPr>
                <w:rFonts w:asciiTheme="majorHAnsi" w:hAnsiTheme="majorHAnsi" w:cstheme="majorHAnsi"/>
                <w:color w:val="000000"/>
                <w:sz w:val="20"/>
                <w:szCs w:val="20"/>
              </w:rPr>
              <w:t>Between countries: median=US$242.93; IQR=US$201.26-320.46; range=US$95.06-1061.59 [LC average=US$200.1, LMC average=US$264.31, UMC average=US$326.99]</w:t>
            </w:r>
          </w:p>
        </w:tc>
        <w:tc>
          <w:tcPr>
            <w:tcW w:w="6946" w:type="dxa"/>
            <w:vAlign w:val="center"/>
          </w:tcPr>
          <w:p w14:paraId="3254BAA0" w14:textId="68C8ED7A" w:rsidR="00CD50A7" w:rsidRPr="008E0988" w:rsidRDefault="00CD50A7" w:rsidP="0045537D">
            <w:pPr>
              <w:autoSpaceDE w:val="0"/>
              <w:autoSpaceDN w:val="0"/>
              <w:adjustRightInd w:val="0"/>
              <w:rPr>
                <w:rFonts w:asciiTheme="majorHAnsi" w:eastAsia="Times New Roman" w:hAnsiTheme="majorHAnsi" w:cstheme="majorHAnsi"/>
                <w:sz w:val="20"/>
                <w:szCs w:val="20"/>
                <w:lang w:eastAsia="en-AU"/>
              </w:rPr>
            </w:pPr>
            <w:r w:rsidRPr="00C1442D">
              <w:rPr>
                <w:rFonts w:asciiTheme="majorHAnsi" w:eastAsia="Times New Roman" w:hAnsiTheme="majorHAnsi" w:cstheme="majorHAnsi"/>
                <w:sz w:val="20"/>
                <w:szCs w:val="20"/>
                <w:lang w:eastAsia="en-AU"/>
              </w:rPr>
              <w:t>Cost per case. Commodity costs (US$44.60 for material costs on average</w:t>
            </w:r>
            <w:r>
              <w:rPr>
                <w:rFonts w:asciiTheme="majorHAnsi" w:eastAsia="Times New Roman" w:hAnsiTheme="majorHAnsi" w:cstheme="majorHAnsi"/>
                <w:sz w:val="20"/>
                <w:szCs w:val="20"/>
                <w:lang w:eastAsia="en-AU"/>
              </w:rPr>
              <w:t>***</w:t>
            </w:r>
            <w:r w:rsidRPr="00C1442D">
              <w:rPr>
                <w:rFonts w:asciiTheme="majorHAnsi" w:eastAsia="Times New Roman" w:hAnsiTheme="majorHAnsi" w:cstheme="majorHAnsi"/>
                <w:sz w:val="20"/>
                <w:szCs w:val="20"/>
                <w:lang w:eastAsia="en-AU"/>
              </w:rPr>
              <w:t>, and assuming complicated cases require an average of 14 days, inpatient care was costed according to regional estimates from WHO-CHOICE</w:t>
            </w:r>
            <w:r w:rsidR="004533D0">
              <w:rPr>
                <w:rFonts w:asciiTheme="majorHAnsi" w:eastAsia="Times New Roman" w:hAnsiTheme="majorHAnsi" w:cstheme="majorHAnsi"/>
                <w:sz w:val="20"/>
                <w:szCs w:val="20"/>
                <w:lang w:eastAsia="en-AU"/>
              </w:rPr>
              <w:fldChar w:fldCharType="begin" w:fldLock="1"/>
            </w:r>
            <w:r w:rsidR="004533D0">
              <w:rPr>
                <w:rFonts w:asciiTheme="majorHAnsi" w:eastAsia="Times New Roman" w:hAnsiTheme="majorHAnsi" w:cstheme="majorHAnsi"/>
                <w:sz w:val="20"/>
                <w:szCs w:val="20"/>
                <w:lang w:eastAsia="en-AU"/>
              </w:rPr>
              <w:instrText>ADDIN CSL_CITATION {"citationItems":[{"id":"ITEM-1","itemData":{"author":[{"dropping-particle":"","family":"World Health Organization.","given":"","non-dropping-particle":"","parse-names":false,"suffix":""}],"id":"ITEM-1","issued":{"date-parts":[["0"]]},"title":"WHO-CHOICE Results of Unit Costs for patient services for the 14 GBD Regions.","type":"webpage"},"uris":["http://www.mendeley.com/documents/?uuid=486bbfb0-bbd8-4163-9ac5-0f5731e61890"]}],"mendeley":{"formattedCitation":"&lt;sup&gt;23&lt;/sup&gt;","plainTextFormattedCitation":"23","previouslyFormattedCitation":"&lt;sup&gt;23&lt;/sup&gt;"},"properties":{"noteIndex":0},"schema":"https://github.com/citation-style-language/schema/raw/master/csl-citation.json"}</w:instrText>
            </w:r>
            <w:r w:rsidR="004533D0">
              <w:rPr>
                <w:rFonts w:asciiTheme="majorHAnsi" w:eastAsia="Times New Roman" w:hAnsiTheme="majorHAnsi" w:cstheme="majorHAnsi"/>
                <w:sz w:val="20"/>
                <w:szCs w:val="20"/>
                <w:lang w:eastAsia="en-AU"/>
              </w:rPr>
              <w:fldChar w:fldCharType="separate"/>
            </w:r>
            <w:r w:rsidR="004533D0" w:rsidRPr="004533D0">
              <w:rPr>
                <w:rFonts w:asciiTheme="majorHAnsi" w:eastAsia="Times New Roman" w:hAnsiTheme="majorHAnsi" w:cstheme="majorHAnsi"/>
                <w:noProof/>
                <w:sz w:val="20"/>
                <w:szCs w:val="20"/>
                <w:vertAlign w:val="superscript"/>
                <w:lang w:eastAsia="en-AU"/>
              </w:rPr>
              <w:t>23</w:t>
            </w:r>
            <w:r w:rsidR="004533D0">
              <w:rPr>
                <w:rFonts w:asciiTheme="majorHAnsi" w:eastAsia="Times New Roman" w:hAnsiTheme="majorHAnsi" w:cstheme="majorHAnsi"/>
                <w:sz w:val="20"/>
                <w:szCs w:val="20"/>
                <w:lang w:eastAsia="en-AU"/>
              </w:rPr>
              <w:fldChar w:fldCharType="end"/>
            </w:r>
            <w:r w:rsidRPr="00C1442D">
              <w:rPr>
                <w:rFonts w:asciiTheme="majorHAnsi" w:eastAsia="Times New Roman" w:hAnsiTheme="majorHAnsi" w:cstheme="majorHAnsi"/>
                <w:sz w:val="20"/>
                <w:szCs w:val="20"/>
                <w:lang w:eastAsia="en-AU"/>
              </w:rPr>
              <w:t xml:space="preserve"> unit costs of patient services) + 200 minutes of specific health provider time per case of SAM on average</w:t>
            </w:r>
            <w:r>
              <w:rPr>
                <w:rFonts w:asciiTheme="majorHAnsi" w:eastAsia="Times New Roman" w:hAnsiTheme="majorHAnsi" w:cstheme="majorHAnsi"/>
                <w:sz w:val="20"/>
                <w:szCs w:val="20"/>
                <w:lang w:eastAsia="en-AU"/>
              </w:rPr>
              <w:t>***</w:t>
            </w:r>
            <w:r w:rsidRPr="00C1442D">
              <w:rPr>
                <w:rFonts w:asciiTheme="majorHAnsi" w:eastAsia="Times New Roman" w:hAnsiTheme="majorHAnsi" w:cstheme="majorHAnsi"/>
                <w:sz w:val="20"/>
                <w:szCs w:val="20"/>
                <w:lang w:eastAsia="en-AU"/>
              </w:rPr>
              <w:t>. All treatment assumptions are based upon Bhutta et al</w:t>
            </w:r>
            <w:r w:rsidR="004533D0">
              <w:rPr>
                <w:rFonts w:asciiTheme="majorHAnsi" w:eastAsia="Times New Roman" w:hAnsiTheme="majorHAnsi" w:cstheme="majorHAnsi"/>
                <w:sz w:val="20"/>
                <w:szCs w:val="20"/>
                <w:lang w:eastAsia="en-AU"/>
              </w:rPr>
              <w:fldChar w:fldCharType="begin" w:fldLock="1"/>
            </w:r>
            <w:r w:rsidR="00991B3B">
              <w:rPr>
                <w:rFonts w:asciiTheme="majorHAnsi" w:eastAsia="Times New Roman" w:hAnsiTheme="majorHAnsi" w:cstheme="majorHAnsi"/>
                <w:sz w:val="20"/>
                <w:szCs w:val="20"/>
                <w:lang w:eastAsia="en-AU"/>
              </w:rPr>
              <w:instrText>ADDIN CSL_CITATION {"citationItems":[{"id":"ITEM-1","itemData":{"DOI":"10.1016/S0140-6736(13)60996-4","ISSN":"1474547X","PMID":"23746776","abstract":"Maternal undernutrition contributes to 800000 neonatal deaths annually through small for gestational age births; stunting, wasting, and micronutrient deficiencies are estimated to underlie nearly 3·1 million child deaths annually. Progress has been made with many interventions implemented at scale and the evidence for effectiveness of nutrition interventions and delivery strategies has grown since The Lancet Series on Maternal and Child Undernutrition in 2008. We did a comprehensive update of interventions to address undernutrition and micronutrient deficiencies in women and children and used standard methods to assess emerging new evidence for delivery platforms. We modelled the effect on lives saved and cost of these interventions in the 34 countries that have 90% of the world's children with stunted growth. We also examined the effect of various delivery platforms and delivery options using community health workers to engage poor populations and promote behaviour change, access and uptake of interventions. Our analysis suggests the current total of deaths in children younger than 5 years can be reduced by 15% if populations can access ten evidence-based nutrition interventions at 90% coverage. Additionally, access to and uptake of iodised salt can alleviate iodine deficiency and improve health outcomes. Accelerated gains are possible and about a fifth of the existing burden of stunting can be averted using these approaches, if access is improved in this way. The estimated total additional annual cost involved for scaling up access to these ten direct nutrition interventions in the 34 focus countries is Int$9·6 billion per year. Continued investments in nutrition-specific interventions to avert maternal and child undernutrition and micronutrient deficiencies through community engagement and delivery strategies that can reach poor segments of the population at greatest risk can make a great difference. If this improved access is linked to nutrition-sensitive approaches - ie, women's empowerment, agriculture, food systems, education, employment, social protection, and safety nets - they can greatly accelerate progress in countries with the highest burden of maternal and child undernutrition and mortality. © 2013 Elsevier Ltd.","author":[{"dropping-particle":"","family":"Bhutta","given":"Zulfiqar A.","non-dropping-particle":"","parse-names":false,"suffix":""},{"dropping-particle":"","family":"Das","given":"Jai K.","non-dropping-particle":"","parse-names":false,"suffix":""},{"dropping-particle":"","family":"Rizvi","given":"Arjumand","non-dropping-particle":"","parse-names":false,"suffix":""},{"dropping-particle":"","family":"Gaffey","given":"Michelle F.","non-dropping-particle":"","parse-names":false,"suffix":""},{"dropping-particle":"","family":"Walker","given":"Neff","non-dropping-particle":"","parse-names":false,"suffix":""},{"dropping-particle":"","family":"Horton","given":"Susan","non-dropping-particle":"","parse-names":false,"suffix":""},{"dropping-particle":"","family":"Webb","given":"Patrick","non-dropping-particle":"","parse-names":false,"suffix":""},{"dropping-particle":"","family":"Lartey","given":"Anna","non-dropping-particle":"","parse-names":false,"suffix":""},{"dropping-particle":"","family":"Black","given":"Robert E.","non-dropping-particle":"","parse-names":false,"suffix":""}],"container-title":"The Lancet","id":"ITEM-1","issued":{"date-parts":[["2013"]]},"title":"Evidence-based interventions for improvement of maternal and child nutrition: What can be done and at what cost?","type":"article"},"uris":["http://www.mendeley.com/documents/?uuid=0dafd572-8289-42e2-8fe5-98452398dced"]}],"mendeley":{"formattedCitation":"&lt;sup&gt;19&lt;/sup&gt;","plainTextFormattedCitation":"19","previouslyFormattedCitation":"&lt;sup&gt;19&lt;/sup&gt;"},"properties":{"noteIndex":0},"schema":"https://github.com/citation-style-language/schema/raw/master/csl-citation.json"}</w:instrText>
            </w:r>
            <w:r w:rsidR="004533D0">
              <w:rPr>
                <w:rFonts w:asciiTheme="majorHAnsi" w:eastAsia="Times New Roman" w:hAnsiTheme="majorHAnsi" w:cstheme="majorHAnsi"/>
                <w:sz w:val="20"/>
                <w:szCs w:val="20"/>
                <w:lang w:eastAsia="en-AU"/>
              </w:rPr>
              <w:fldChar w:fldCharType="separate"/>
            </w:r>
            <w:r w:rsidR="004533D0" w:rsidRPr="004533D0">
              <w:rPr>
                <w:rFonts w:asciiTheme="majorHAnsi" w:eastAsia="Times New Roman" w:hAnsiTheme="majorHAnsi" w:cstheme="majorHAnsi"/>
                <w:noProof/>
                <w:sz w:val="20"/>
                <w:szCs w:val="20"/>
                <w:vertAlign w:val="superscript"/>
                <w:lang w:eastAsia="en-AU"/>
              </w:rPr>
              <w:t>19</w:t>
            </w:r>
            <w:r w:rsidR="004533D0">
              <w:rPr>
                <w:rFonts w:asciiTheme="majorHAnsi" w:eastAsia="Times New Roman" w:hAnsiTheme="majorHAnsi" w:cstheme="majorHAnsi"/>
                <w:sz w:val="20"/>
                <w:szCs w:val="20"/>
                <w:lang w:eastAsia="en-AU"/>
              </w:rPr>
              <w:fldChar w:fldCharType="end"/>
            </w:r>
            <w:r w:rsidRPr="008E0988">
              <w:rPr>
                <w:rFonts w:asciiTheme="majorHAnsi" w:eastAsia="Times New Roman" w:hAnsiTheme="majorHAnsi" w:cstheme="majorHAnsi"/>
                <w:sz w:val="20"/>
                <w:szCs w:val="20"/>
                <w:lang w:eastAsia="en-AU"/>
              </w:rPr>
              <w:t xml:space="preserve"> </w:t>
            </w:r>
          </w:p>
        </w:tc>
      </w:tr>
      <w:tr w:rsidR="00CD50A7" w:rsidRPr="00C1442D" w14:paraId="27FB4FA4" w14:textId="77777777" w:rsidTr="0045537D">
        <w:trPr>
          <w:jc w:val="center"/>
        </w:trPr>
        <w:tc>
          <w:tcPr>
            <w:tcW w:w="2501" w:type="dxa"/>
            <w:vAlign w:val="center"/>
          </w:tcPr>
          <w:p w14:paraId="4585B865" w14:textId="77777777" w:rsidR="00CD50A7" w:rsidRPr="00C1442D" w:rsidRDefault="00CD50A7" w:rsidP="0045537D">
            <w:pPr>
              <w:rPr>
                <w:rFonts w:asciiTheme="majorHAnsi" w:eastAsia="Times New Roman" w:hAnsiTheme="majorHAnsi" w:cstheme="majorHAnsi"/>
                <w:sz w:val="20"/>
                <w:szCs w:val="20"/>
                <w:lang w:eastAsia="en-AU"/>
              </w:rPr>
            </w:pPr>
            <w:r w:rsidRPr="00C1442D">
              <w:rPr>
                <w:rFonts w:asciiTheme="majorHAnsi" w:eastAsia="Times New Roman" w:hAnsiTheme="majorHAnsi" w:cstheme="majorHAnsi"/>
                <w:sz w:val="20"/>
                <w:szCs w:val="20"/>
                <w:lang w:eastAsia="en-AU"/>
              </w:rPr>
              <w:t>Vitamin A supplementation</w:t>
            </w:r>
          </w:p>
        </w:tc>
        <w:tc>
          <w:tcPr>
            <w:tcW w:w="1141" w:type="dxa"/>
            <w:vAlign w:val="center"/>
          </w:tcPr>
          <w:p w14:paraId="35FFD97A" w14:textId="77777777" w:rsidR="00CD50A7" w:rsidRPr="00C1442D" w:rsidRDefault="00CD50A7" w:rsidP="0045537D">
            <w:pPr>
              <w:jc w:val="center"/>
              <w:rPr>
                <w:rFonts w:asciiTheme="majorHAnsi" w:eastAsia="Times New Roman" w:hAnsiTheme="majorHAnsi" w:cstheme="majorHAnsi"/>
                <w:sz w:val="20"/>
                <w:szCs w:val="20"/>
                <w:lang w:eastAsia="en-AU"/>
              </w:rPr>
            </w:pPr>
            <w:r w:rsidRPr="00C1442D">
              <w:rPr>
                <w:rFonts w:asciiTheme="majorHAnsi" w:hAnsiTheme="majorHAnsi" w:cstheme="majorHAnsi"/>
                <w:color w:val="000000"/>
                <w:sz w:val="20"/>
                <w:szCs w:val="20"/>
              </w:rPr>
              <w:t>US$</w:t>
            </w:r>
            <w:r>
              <w:rPr>
                <w:rFonts w:asciiTheme="majorHAnsi" w:hAnsiTheme="majorHAnsi" w:cstheme="majorHAnsi"/>
                <w:color w:val="000000"/>
                <w:sz w:val="20"/>
                <w:szCs w:val="20"/>
              </w:rPr>
              <w:t>1.36</w:t>
            </w:r>
          </w:p>
        </w:tc>
        <w:tc>
          <w:tcPr>
            <w:tcW w:w="4008" w:type="dxa"/>
            <w:gridSpan w:val="2"/>
          </w:tcPr>
          <w:p w14:paraId="3346EE8B" w14:textId="77777777" w:rsidR="00CD50A7" w:rsidRPr="00C1442D" w:rsidRDefault="00CD50A7" w:rsidP="0045537D">
            <w:pPr>
              <w:rPr>
                <w:rFonts w:asciiTheme="majorHAnsi" w:hAnsiTheme="majorHAnsi" w:cstheme="majorHAnsi"/>
                <w:sz w:val="20"/>
                <w:szCs w:val="20"/>
              </w:rPr>
            </w:pPr>
            <w:r w:rsidRPr="00DF2B55">
              <w:rPr>
                <w:rFonts w:asciiTheme="majorHAnsi" w:hAnsiTheme="majorHAnsi" w:cstheme="majorHAnsi"/>
                <w:color w:val="000000"/>
                <w:sz w:val="20"/>
                <w:szCs w:val="20"/>
              </w:rPr>
              <w:t>Between countries: median=US$1.04; IQR=US$0.56-1.79; range=US$0.35-5.11 [LC average=US$0.48, LMC average=US$1.02, UMC average=US$2.39]</w:t>
            </w:r>
          </w:p>
        </w:tc>
        <w:tc>
          <w:tcPr>
            <w:tcW w:w="6946" w:type="dxa"/>
            <w:vAlign w:val="center"/>
          </w:tcPr>
          <w:p w14:paraId="433A2070" w14:textId="3928D29D" w:rsidR="00CD50A7" w:rsidRPr="00C1442D" w:rsidRDefault="00CD50A7" w:rsidP="0045537D">
            <w:pPr>
              <w:rPr>
                <w:rFonts w:asciiTheme="majorHAnsi" w:hAnsiTheme="majorHAnsi" w:cstheme="majorHAnsi"/>
                <w:sz w:val="20"/>
                <w:szCs w:val="20"/>
              </w:rPr>
            </w:pPr>
            <w:r w:rsidRPr="00C1442D">
              <w:rPr>
                <w:rFonts w:asciiTheme="majorHAnsi" w:eastAsia="Times New Roman" w:hAnsiTheme="majorHAnsi" w:cstheme="majorHAnsi"/>
                <w:sz w:val="20"/>
                <w:szCs w:val="20"/>
                <w:lang w:eastAsia="en-AU"/>
              </w:rPr>
              <w:t>Cost per child per annum. Commodity costs (US$0.10) + 18 minutes of specific health provider time per annum</w:t>
            </w:r>
            <w:r>
              <w:rPr>
                <w:rFonts w:asciiTheme="majorHAnsi" w:eastAsia="Times New Roman" w:hAnsiTheme="majorHAnsi" w:cstheme="majorHAnsi"/>
                <w:sz w:val="20"/>
                <w:szCs w:val="20"/>
                <w:lang w:eastAsia="en-AU"/>
              </w:rPr>
              <w:t xml:space="preserve"> from the </w:t>
            </w:r>
            <w:proofErr w:type="spellStart"/>
            <w:r>
              <w:rPr>
                <w:rFonts w:asciiTheme="majorHAnsi" w:eastAsia="Times New Roman" w:hAnsiTheme="majorHAnsi" w:cstheme="majorHAnsi"/>
                <w:sz w:val="20"/>
                <w:szCs w:val="20"/>
                <w:lang w:eastAsia="en-AU"/>
              </w:rPr>
              <w:t>OneHealth</w:t>
            </w:r>
            <w:proofErr w:type="spellEnd"/>
            <w:r>
              <w:rPr>
                <w:rFonts w:asciiTheme="majorHAnsi" w:eastAsia="Times New Roman" w:hAnsiTheme="majorHAnsi" w:cstheme="majorHAnsi"/>
                <w:sz w:val="20"/>
                <w:szCs w:val="20"/>
                <w:lang w:eastAsia="en-AU"/>
              </w:rPr>
              <w:t xml:space="preserve"> tool</w:t>
            </w:r>
            <w:r w:rsidR="00991B3B">
              <w:rPr>
                <w:rFonts w:asciiTheme="majorHAnsi" w:eastAsia="Times New Roman" w:hAnsiTheme="majorHAnsi" w:cstheme="majorHAnsi"/>
                <w:sz w:val="20"/>
                <w:szCs w:val="20"/>
                <w:lang w:eastAsia="en-AU"/>
              </w:rPr>
              <w:fldChar w:fldCharType="begin" w:fldLock="1"/>
            </w:r>
            <w:r w:rsidR="00991B3B">
              <w:rPr>
                <w:rFonts w:asciiTheme="majorHAnsi" w:eastAsia="Times New Roman" w:hAnsiTheme="majorHAnsi" w:cstheme="majorHAnsi"/>
                <w:sz w:val="20"/>
                <w:szCs w:val="20"/>
                <w:lang w:eastAsia="en-AU"/>
              </w:rPr>
              <w:instrText>ADDIN CSL_CITATION {"citationItems":[{"id":"ITEM-1","itemData":{"URL":"https://www.avenirhealth.org/software-onehealth.php","id":"ITEM-1","issued":{"date-parts":[["0"]]},"title":"Avenir Health. OneHealth Tool (2019)","type":"webpage"},"uris":["http://www.mendeley.com/documents/?uuid=c307f80c-d35a-48c4-b2f2-6987785f2ed3"]}],"mendeley":{"formattedCitation":"&lt;sup&gt;11&lt;/sup&gt;","plainTextFormattedCitation":"11","previouslyFormattedCitation":"&lt;sup&gt;11&lt;/sup&gt;"},"properties":{"noteIndex":0},"schema":"https://github.com/citation-style-language/schema/raw/master/csl-citation.json"}</w:instrText>
            </w:r>
            <w:r w:rsidR="00991B3B">
              <w:rPr>
                <w:rFonts w:asciiTheme="majorHAnsi" w:eastAsia="Times New Roman" w:hAnsiTheme="majorHAnsi" w:cstheme="majorHAnsi"/>
                <w:sz w:val="20"/>
                <w:szCs w:val="20"/>
                <w:lang w:eastAsia="en-AU"/>
              </w:rPr>
              <w:fldChar w:fldCharType="separate"/>
            </w:r>
            <w:r w:rsidR="00991B3B" w:rsidRPr="00991B3B">
              <w:rPr>
                <w:rFonts w:asciiTheme="majorHAnsi" w:eastAsia="Times New Roman" w:hAnsiTheme="majorHAnsi" w:cstheme="majorHAnsi"/>
                <w:noProof/>
                <w:sz w:val="20"/>
                <w:szCs w:val="20"/>
                <w:vertAlign w:val="superscript"/>
                <w:lang w:eastAsia="en-AU"/>
              </w:rPr>
              <w:t>11</w:t>
            </w:r>
            <w:r w:rsidR="00991B3B">
              <w:rPr>
                <w:rFonts w:asciiTheme="majorHAnsi" w:eastAsia="Times New Roman" w:hAnsiTheme="majorHAnsi" w:cstheme="majorHAnsi"/>
                <w:sz w:val="20"/>
                <w:szCs w:val="20"/>
                <w:lang w:eastAsia="en-AU"/>
              </w:rPr>
              <w:fldChar w:fldCharType="end"/>
            </w:r>
          </w:p>
        </w:tc>
      </w:tr>
      <w:tr w:rsidR="00CD50A7" w:rsidRPr="00C1442D" w14:paraId="627D6C9C" w14:textId="77777777" w:rsidTr="0045537D">
        <w:trPr>
          <w:jc w:val="center"/>
        </w:trPr>
        <w:tc>
          <w:tcPr>
            <w:tcW w:w="2501" w:type="dxa"/>
            <w:vAlign w:val="center"/>
          </w:tcPr>
          <w:p w14:paraId="6F2B1015" w14:textId="77777777" w:rsidR="00CD50A7" w:rsidRPr="00C1442D" w:rsidRDefault="00CD50A7" w:rsidP="0045537D">
            <w:pPr>
              <w:rPr>
                <w:rFonts w:asciiTheme="majorHAnsi" w:eastAsia="Times New Roman" w:hAnsiTheme="majorHAnsi" w:cstheme="majorHAnsi"/>
                <w:sz w:val="20"/>
                <w:szCs w:val="20"/>
                <w:lang w:eastAsia="en-AU"/>
              </w:rPr>
            </w:pPr>
            <w:r w:rsidRPr="00C1442D">
              <w:rPr>
                <w:rFonts w:asciiTheme="majorHAnsi" w:eastAsia="Times New Roman" w:hAnsiTheme="majorHAnsi" w:cstheme="majorHAnsi"/>
                <w:sz w:val="20"/>
                <w:szCs w:val="20"/>
                <w:lang w:eastAsia="en-AU"/>
              </w:rPr>
              <w:t>Balanced energy-protein supplementation</w:t>
            </w:r>
          </w:p>
        </w:tc>
        <w:tc>
          <w:tcPr>
            <w:tcW w:w="1141" w:type="dxa"/>
            <w:vAlign w:val="center"/>
          </w:tcPr>
          <w:p w14:paraId="6214D6BC" w14:textId="77777777" w:rsidR="00CD50A7" w:rsidRPr="00C1442D" w:rsidRDefault="00CD50A7" w:rsidP="0045537D">
            <w:pPr>
              <w:jc w:val="center"/>
              <w:rPr>
                <w:rFonts w:asciiTheme="majorHAnsi" w:eastAsia="Times New Roman" w:hAnsiTheme="majorHAnsi" w:cstheme="majorHAnsi"/>
                <w:sz w:val="20"/>
                <w:szCs w:val="20"/>
                <w:lang w:eastAsia="en-AU"/>
              </w:rPr>
            </w:pPr>
            <w:r w:rsidRPr="00C1442D">
              <w:rPr>
                <w:rFonts w:asciiTheme="majorHAnsi" w:hAnsiTheme="majorHAnsi" w:cstheme="majorHAnsi"/>
                <w:color w:val="000000"/>
                <w:sz w:val="20"/>
                <w:szCs w:val="20"/>
              </w:rPr>
              <w:t>US$</w:t>
            </w:r>
            <w:r>
              <w:rPr>
                <w:rFonts w:asciiTheme="majorHAnsi" w:hAnsiTheme="majorHAnsi" w:cstheme="majorHAnsi"/>
                <w:color w:val="000000"/>
                <w:sz w:val="20"/>
                <w:szCs w:val="20"/>
              </w:rPr>
              <w:t>55.75</w:t>
            </w:r>
          </w:p>
        </w:tc>
        <w:tc>
          <w:tcPr>
            <w:tcW w:w="4008" w:type="dxa"/>
            <w:gridSpan w:val="2"/>
          </w:tcPr>
          <w:p w14:paraId="547ED3B8" w14:textId="77777777" w:rsidR="00CD50A7" w:rsidRPr="00C1442D" w:rsidRDefault="00CD50A7" w:rsidP="0045537D">
            <w:pPr>
              <w:rPr>
                <w:rFonts w:asciiTheme="majorHAnsi" w:hAnsiTheme="majorHAnsi" w:cstheme="majorHAnsi"/>
                <w:sz w:val="20"/>
                <w:szCs w:val="20"/>
              </w:rPr>
            </w:pPr>
            <w:r w:rsidRPr="00DF2B55">
              <w:rPr>
                <w:rFonts w:asciiTheme="majorHAnsi" w:hAnsiTheme="majorHAnsi" w:cstheme="majorHAnsi"/>
                <w:color w:val="000000"/>
                <w:sz w:val="20"/>
                <w:szCs w:val="20"/>
              </w:rPr>
              <w:t>Between countries: median=US$49.38; IQR=US$39.55-64.52; range=US$35.1-130.48 [LC average=US$37.77, LMC average=US$48.93, UMC average=US$76.5]</w:t>
            </w:r>
          </w:p>
        </w:tc>
        <w:tc>
          <w:tcPr>
            <w:tcW w:w="6946" w:type="dxa"/>
            <w:vAlign w:val="center"/>
          </w:tcPr>
          <w:p w14:paraId="208D297D" w14:textId="6E72182B" w:rsidR="00CD50A7" w:rsidRPr="00C1442D" w:rsidRDefault="00CD50A7" w:rsidP="0045537D">
            <w:pPr>
              <w:rPr>
                <w:rFonts w:asciiTheme="majorHAnsi" w:hAnsiTheme="majorHAnsi" w:cstheme="majorHAnsi"/>
                <w:sz w:val="20"/>
                <w:szCs w:val="20"/>
              </w:rPr>
            </w:pPr>
            <w:r w:rsidRPr="00C1442D">
              <w:rPr>
                <w:rFonts w:asciiTheme="majorHAnsi" w:eastAsia="Times New Roman" w:hAnsiTheme="majorHAnsi" w:cstheme="majorHAnsi"/>
                <w:sz w:val="20"/>
                <w:szCs w:val="20"/>
                <w:lang w:eastAsia="en-AU"/>
              </w:rPr>
              <w:t xml:space="preserve">Cost per pregnancy. Country-specific estimates calculated by scaling the cost range from </w:t>
            </w:r>
            <w:r w:rsidRPr="00C1442D">
              <w:rPr>
                <w:rStyle w:val="fn"/>
                <w:rFonts w:asciiTheme="majorHAnsi" w:hAnsiTheme="majorHAnsi" w:cstheme="majorHAnsi"/>
                <w:iCs/>
                <w:sz w:val="20"/>
                <w:szCs w:val="20"/>
              </w:rPr>
              <w:t>Shekar et al. investment framework for nutrition</w:t>
            </w:r>
            <w:r w:rsidR="00991B3B">
              <w:rPr>
                <w:rStyle w:val="fn"/>
                <w:rFonts w:asciiTheme="majorHAnsi" w:hAnsiTheme="majorHAnsi" w:cstheme="majorHAnsi"/>
                <w:iCs/>
                <w:sz w:val="20"/>
                <w:szCs w:val="20"/>
              </w:rPr>
              <w:fldChar w:fldCharType="begin" w:fldLock="1"/>
            </w:r>
            <w:r w:rsidR="00991B3B">
              <w:rPr>
                <w:rStyle w:val="fn"/>
                <w:rFonts w:asciiTheme="majorHAnsi" w:hAnsiTheme="majorHAnsi" w:cstheme="majorHAnsi"/>
                <w:iCs/>
                <w:sz w:val="20"/>
                <w:szCs w:val="20"/>
              </w:rPr>
              <w:instrText>ADDIN CSL_CITATION {"citationItems":[{"id":"ITEM-1","itemData":{"DOI":"10.1596/978-1-4648-1010-7","abstract":"Current estimates suggest that all forms of malnutrition (undernutrition, micronutrient deficiencies, and overweight) cost the global economy an estimated $3.5 trillion per year, or $500 per individual, creating a major impediment for governments in their efforts to reduce poverty and create thriving and prosperous communities (Global Panel 2016). Unlike investments in physical infrastructure, investments intended to reduce malnutrition generate benefits that are durable, inalienable, and portable. These investments also fuel progress toward all 17 development goals delineated in the Sustainable Development Goals (SDGs), including education and alleviating poverty. Why is this so? Ensuring optimum nutrition—particularly early in life—can permanently alter an individual's development trajectory and maximize her or his pro-ductive potential. As of 2015, 159 million children were chronically malnourished, as measured by stunting or low height for age, which means that they are at risk of failing to achieve their own genetic potential not only for physical but also for cognitive development. Childhood stunting has lifelong consequences not just for health but also for human capital, poverty, and equity.","author":[{"dropping-particle":"","family":"Shekar","given":"Meera","non-dropping-particle":"","parse-names":false,"suffix":""},{"dropping-particle":"","family":"Kakietek","given":"Jakub","non-dropping-particle":"","parse-names":false,"suffix":""},{"dropping-particle":"","family":"Dayton Eberwein","given":"Julia","non-dropping-particle":"","parse-names":false,"suffix":""},{"dropping-particle":"","family":"Walters","given":"Dylan","non-dropping-particle":"","parse-names":false,"suffix":""}],"container-title":"An Investment Framework for Nutrition: Reaching the Global Targets for Stunting, Anemia, Breastfeeding, and Wasting","id":"ITEM-1","issued":{"date-parts":[["2017"]]},"title":"An Investment Framework for Nutrition: Reaching the Global Targets for Stunting, Anemia, Breastfeeding, and Wasting","type":"book"},"uris":["http://www.mendeley.com/documents/?uuid=6e39b12f-eb25-4296-99ab-e20ec39082a7"]}],"mendeley":{"formattedCitation":"&lt;sup&gt;1&lt;/sup&gt;","plainTextFormattedCitation":"1","previouslyFormattedCitation":"&lt;sup&gt;1&lt;/sup&gt;"},"properties":{"noteIndex":0},"schema":"https://github.com/citation-style-language/schema/raw/master/csl-citation.json"}</w:instrText>
            </w:r>
            <w:r w:rsidR="00991B3B">
              <w:rPr>
                <w:rStyle w:val="fn"/>
                <w:rFonts w:asciiTheme="majorHAnsi" w:hAnsiTheme="majorHAnsi" w:cstheme="majorHAnsi"/>
                <w:iCs/>
                <w:sz w:val="20"/>
                <w:szCs w:val="20"/>
              </w:rPr>
              <w:fldChar w:fldCharType="separate"/>
            </w:r>
            <w:r w:rsidR="00991B3B" w:rsidRPr="00991B3B">
              <w:rPr>
                <w:rStyle w:val="fn"/>
                <w:rFonts w:asciiTheme="majorHAnsi" w:hAnsiTheme="majorHAnsi" w:cstheme="majorHAnsi"/>
                <w:iCs/>
                <w:noProof/>
                <w:sz w:val="20"/>
                <w:szCs w:val="20"/>
                <w:vertAlign w:val="superscript"/>
              </w:rPr>
              <w:t>1</w:t>
            </w:r>
            <w:r w:rsidR="00991B3B">
              <w:rPr>
                <w:rStyle w:val="fn"/>
                <w:rFonts w:asciiTheme="majorHAnsi" w:hAnsiTheme="majorHAnsi" w:cstheme="majorHAnsi"/>
                <w:iCs/>
                <w:sz w:val="20"/>
                <w:szCs w:val="20"/>
              </w:rPr>
              <w:fldChar w:fldCharType="end"/>
            </w:r>
            <w:r w:rsidRPr="00C1442D">
              <w:rPr>
                <w:rStyle w:val="fn"/>
                <w:rFonts w:asciiTheme="majorHAnsi" w:hAnsiTheme="majorHAnsi" w:cstheme="majorHAnsi"/>
                <w:bCs/>
                <w:iCs/>
                <w:sz w:val="20"/>
                <w:szCs w:val="20"/>
              </w:rPr>
              <w:t xml:space="preserve"> </w:t>
            </w:r>
            <w:r>
              <w:rPr>
                <w:rStyle w:val="fn"/>
                <w:rFonts w:asciiTheme="majorHAnsi" w:hAnsiTheme="majorHAnsi" w:cstheme="majorHAnsi"/>
                <w:bCs/>
                <w:iCs/>
                <w:sz w:val="20"/>
                <w:szCs w:val="20"/>
              </w:rPr>
              <w:t>as for IYCF education intervention above.</w:t>
            </w:r>
          </w:p>
        </w:tc>
      </w:tr>
    </w:tbl>
    <w:p w14:paraId="00BC9277" w14:textId="2EE85DBC" w:rsidR="00CD50A7" w:rsidRPr="008E0988" w:rsidRDefault="00CD50A7" w:rsidP="00CD50A7">
      <w:pPr>
        <w:spacing w:after="0"/>
        <w:jc w:val="both"/>
        <w:rPr>
          <w:rFonts w:cstheme="minorHAnsi"/>
          <w:spacing w:val="-2"/>
          <w:sz w:val="18"/>
          <w:szCs w:val="18"/>
        </w:rPr>
      </w:pPr>
      <w:r w:rsidRPr="008E0988">
        <w:rPr>
          <w:rFonts w:eastAsia="Times New Roman" w:cstheme="minorHAnsi"/>
          <w:sz w:val="18"/>
          <w:szCs w:val="18"/>
        </w:rPr>
        <w:t xml:space="preserve">^ </w:t>
      </w:r>
      <w:r w:rsidRPr="008E0988">
        <w:rPr>
          <w:rFonts w:cstheme="minorHAnsi"/>
          <w:spacing w:val="-2"/>
          <w:sz w:val="18"/>
          <w:szCs w:val="18"/>
        </w:rPr>
        <w:t>Country-specific supply chain costs were estimated similarly to Stenberg and colleague</w:t>
      </w:r>
      <w:r>
        <w:rPr>
          <w:rFonts w:cstheme="minorHAnsi"/>
          <w:spacing w:val="-2"/>
          <w:sz w:val="18"/>
          <w:szCs w:val="18"/>
        </w:rPr>
        <w:t>s</w:t>
      </w:r>
      <w:r w:rsidR="00991B3B">
        <w:rPr>
          <w:rFonts w:cstheme="minorHAnsi"/>
          <w:spacing w:val="-2"/>
          <w:sz w:val="18"/>
          <w:szCs w:val="18"/>
        </w:rPr>
        <w:fldChar w:fldCharType="begin" w:fldLock="1"/>
      </w:r>
      <w:r w:rsidR="00991B3B">
        <w:rPr>
          <w:rFonts w:cstheme="minorHAnsi"/>
          <w:spacing w:val="-2"/>
          <w:sz w:val="18"/>
          <w:szCs w:val="18"/>
        </w:rPr>
        <w:instrText>ADDIN CSL_CITATION {"citationItems":[{"id":"ITEM-1","itemData":{"DOI":"10.1016/S0140-6736(13)62231-X","ISSN":"1474547X","PMID":"24263249","abstract":"A new Global Investment Framework for Women's and Children's Health demonstrates how investment in women's and children's health will secure high health, social, and economic returns. We costed health systems strengthening and six investment packages for: maternal and newborn health, child health, immunisation, family planning, HIV/AIDS, and malaria. Nutrition is a cross-cutting theme. We then used simulation modelling to estimate the health and socioeconomic returns of these investments. Increasing health expenditure by just $5 per person per year up to 2035 in 74 high-burden countries could yield up to nine times that value in economic and social benefits. These returns include greater gross domestic product (GDP) growth through improved productivity, and prevention of the needless deaths of 147 million children, 32 million stillbirths, and 5 million women by 2035. These gains could be achieved by an additional investment of $30 billion per year, equivalent to a 2% increase above current spending.","author":[{"dropping-particle":"","family":"Stenberg","given":"Karin","non-dropping-particle":"","parse-names":false,"suffix":""},{"dropping-particle":"","family":"Axelson","given":"Henrik","non-dropping-particle":"","parse-names":false,"suffix":""},{"dropping-particle":"","family":"Sheehan","given":"Peter","non-dropping-particle":"","parse-names":false,"suffix":""},{"dropping-particle":"","family":"Anderson","given":"Ian","non-dropping-particle":"","parse-names":false,"suffix":""},{"dropping-particle":"","family":"Gülmezoglu","given":"A. Metin","non-dropping-particle":"","parse-names":false,"suffix":""},{"dropping-particle":"","family":"Temmerman","given":"Marleen","non-dropping-particle":"","parse-names":false,"suffix":""},{"dropping-particle":"","family":"Mason","given":"Elizabeth","non-dropping-particle":"","parse-names":false,"suffix":""},{"dropping-particle":"","family":"Friedman","given":"Howard S.","non-dropping-particle":"","parse-names":false,"suffix":""},{"dropping-particle":"","family":"Bhutta","given":"Zulfiqar A.","non-dropping-particle":"","parse-names":false,"suffix":""},{"dropping-particle":"","family":"Lawn","given":"Joy E.","non-dropping-particle":"","parse-names":false,"suffix":""},{"dropping-particle":"","family":"Sweeny","given":"Kim","non-dropping-particle":"","parse-names":false,"suffix":""},{"dropping-particle":"","family":"Tulloch","given":"Jim","non-dropping-particle":"","parse-names":false,"suffix":""},{"dropping-particle":"","family":"Hansen","given":"Peter","non-dropping-particle":"","parse-names":false,"suffix":""},{"dropping-particle":"","family":"Chopra","given":"Mickey","non-dropping-particle":"","parse-names":false,"suffix":""},{"dropping-particle":"","family":"Gupta","given":"Anuradha","non-dropping-particle":"","parse-names":false,"suffix":""},{"dropping-particle":"","family":"Vogel","given":"Joshua P.","non-dropping-particle":"","parse-names":false,"suffix":""},{"dropping-particle":"","family":"Ostergren","given":"Mikael","non-dropping-particle":"","parse-names":false,"suffix":""},{"dropping-particle":"","family":"Rasmussen","given":"Bruce","non-dropping-particle":"","parse-names":false,"suffix":""},{"dropping-particle":"","family":"Levin","given":"Carol","non-dropping-particle":"","parse-names":false,"suffix":""},{"dropping-particle":"","family":"Boyle","given":"Colin","non-dropping-particle":"","parse-names":false,"suffix":""},{"dropping-particle":"","family":"Kuruvilla","given":"Shyama","non-dropping-particle":"","parse-names":false,"suffix":""},{"dropping-particle":"","family":"Koblinsky","given":"Marjorie","non-dropping-particle":"","parse-names":false,"suffix":""},{"dropping-particle":"","family":"Walker","given":"Neff","non-dropping-particle":"","parse-names":false,"suffix":""},{"dropping-particle":"","family":"Francisco","given":"Andres","non-dropping-particle":"De","parse-names":false,"suffix":""},{"dropping-particle":"","family":"Novcic","given":"Nebojsa","non-dropping-particle":"","parse-names":false,"suffix":""},{"dropping-particle":"","family":"Presern","given":"Carole","non-dropping-particle":"","parse-names":false,"suffix":""},{"dropping-particle":"","family":"Jamison","given":"Dean","non-dropping-particle":"","parse-names":false,"suffix":""},{"dropping-particle":"","family":"Bustreo","given":"Flavia","non-dropping-particle":"","parse-names":false,"suffix":""}],"container-title":"The Lancet","id":"ITEM-1","issued":{"date-parts":[["2014"]]},"title":"Advancing social and economic development by investing in women's and children's health: A new Global Investment Framework","type":"article"},"uris":["http://www.mendeley.com/documents/?uuid=87426d2b-f62a-4019-93e9-e3667b49caaa"]}],"mendeley":{"formattedCitation":"&lt;sup&gt;13&lt;/sup&gt;","plainTextFormattedCitation":"13","previouslyFormattedCitation":"&lt;sup&gt;13&lt;/sup&gt;"},"properties":{"noteIndex":0},"schema":"https://github.com/citation-style-language/schema/raw/master/csl-citation.json"}</w:instrText>
      </w:r>
      <w:r w:rsidR="00991B3B">
        <w:rPr>
          <w:rFonts w:cstheme="minorHAnsi"/>
          <w:spacing w:val="-2"/>
          <w:sz w:val="18"/>
          <w:szCs w:val="18"/>
        </w:rPr>
        <w:fldChar w:fldCharType="separate"/>
      </w:r>
      <w:r w:rsidR="00991B3B" w:rsidRPr="00991B3B">
        <w:rPr>
          <w:rFonts w:cstheme="minorHAnsi"/>
          <w:noProof/>
          <w:spacing w:val="-2"/>
          <w:sz w:val="18"/>
          <w:szCs w:val="18"/>
          <w:vertAlign w:val="superscript"/>
        </w:rPr>
        <w:t>13</w:t>
      </w:r>
      <w:r w:rsidR="00991B3B">
        <w:rPr>
          <w:rFonts w:cstheme="minorHAnsi"/>
          <w:spacing w:val="-2"/>
          <w:sz w:val="18"/>
          <w:szCs w:val="18"/>
        </w:rPr>
        <w:fldChar w:fldCharType="end"/>
      </w:r>
      <w:r w:rsidRPr="008E0988">
        <w:rPr>
          <w:rFonts w:cstheme="minorHAnsi"/>
          <w:spacing w:val="-2"/>
          <w:sz w:val="18"/>
          <w:szCs w:val="18"/>
        </w:rPr>
        <w:t>, who grouped 73 countries into five categories based on “Logistics System Condition”, and estimated a mark-up percentage to apply to commodities for countries in each group. A</w:t>
      </w:r>
      <w:r w:rsidRPr="008E0988">
        <w:rPr>
          <w:rFonts w:eastAsia="Times New Roman" w:cstheme="minorHAnsi"/>
          <w:sz w:val="18"/>
          <w:szCs w:val="18"/>
        </w:rPr>
        <w:t xml:space="preserve">dditional countries in this study were allocated into the five groups by determining an approximate range of GDP per capita for each group (higher GDP per capita is assumed to be associated with better logistics system conditions). </w:t>
      </w:r>
    </w:p>
    <w:p w14:paraId="5D4B8106" w14:textId="77777777" w:rsidR="00CD50A7" w:rsidRPr="008E0988" w:rsidRDefault="00CD50A7" w:rsidP="00CD50A7">
      <w:pPr>
        <w:spacing w:after="0"/>
        <w:jc w:val="both"/>
        <w:rPr>
          <w:rFonts w:eastAsia="Times New Roman" w:cstheme="minorHAnsi"/>
          <w:sz w:val="18"/>
          <w:szCs w:val="18"/>
        </w:rPr>
      </w:pPr>
      <w:r w:rsidRPr="008E0988">
        <w:rPr>
          <w:rFonts w:eastAsia="Times New Roman" w:cstheme="minorHAnsi"/>
          <w:sz w:val="18"/>
          <w:szCs w:val="18"/>
        </w:rPr>
        <w:t>**</w:t>
      </w:r>
      <w:r w:rsidRPr="008E0988">
        <w:rPr>
          <w:sz w:val="18"/>
          <w:szCs w:val="18"/>
        </w:rPr>
        <w:t xml:space="preserve"> Hourly (and per minute) w</w:t>
      </w:r>
      <w:r w:rsidRPr="008E0988">
        <w:rPr>
          <w:rFonts w:eastAsia="Times New Roman" w:cstheme="minorHAnsi"/>
          <w:sz w:val="18"/>
          <w:szCs w:val="18"/>
        </w:rPr>
        <w:t xml:space="preserve">ages for staff time estimated for each country by taking per capita </w:t>
      </w:r>
      <w:proofErr w:type="gramStart"/>
      <w:r w:rsidRPr="008E0988">
        <w:rPr>
          <w:rFonts w:eastAsia="Times New Roman" w:cstheme="minorHAnsi"/>
          <w:sz w:val="18"/>
          <w:szCs w:val="18"/>
        </w:rPr>
        <w:t>GDP, and</w:t>
      </w:r>
      <w:proofErr w:type="gramEnd"/>
      <w:r w:rsidRPr="008E0988">
        <w:rPr>
          <w:rFonts w:eastAsia="Times New Roman" w:cstheme="minorHAnsi"/>
          <w:sz w:val="18"/>
          <w:szCs w:val="18"/>
        </w:rPr>
        <w:t xml:space="preserve"> dividing by an assumed 48 weeks worked per year, and 38 hours worked per week.</w:t>
      </w:r>
    </w:p>
    <w:p w14:paraId="34A199F3" w14:textId="77777777" w:rsidR="00CD50A7" w:rsidRPr="008E0988" w:rsidRDefault="00CD50A7" w:rsidP="00CD50A7">
      <w:pPr>
        <w:spacing w:after="0"/>
        <w:jc w:val="both"/>
        <w:rPr>
          <w:rFonts w:eastAsia="Times New Roman" w:cstheme="minorHAnsi"/>
          <w:sz w:val="18"/>
          <w:szCs w:val="18"/>
        </w:rPr>
      </w:pPr>
      <w:r w:rsidRPr="008E0988">
        <w:rPr>
          <w:rFonts w:eastAsia="Times New Roman" w:cstheme="minorHAnsi"/>
          <w:sz w:val="18"/>
          <w:szCs w:val="18"/>
        </w:rPr>
        <w:t>^^</w:t>
      </w:r>
      <w:r w:rsidRPr="008E0988">
        <w:rPr>
          <w:sz w:val="18"/>
          <w:szCs w:val="18"/>
        </w:rPr>
        <w:t xml:space="preserve"> Training was assumed to cost </w:t>
      </w:r>
      <w:r w:rsidRPr="008E0988">
        <w:rPr>
          <w:rFonts w:eastAsia="Times New Roman" w:cstheme="minorHAnsi"/>
          <w:sz w:val="18"/>
          <w:szCs w:val="18"/>
        </w:rPr>
        <w:t xml:space="preserve">US$300 per session, with a session educating 10 nurses/midwives every five years. The annual cost per nurse/midwife (US$6) was translated to a per-birth cost by estimating the number of births per nurse/midwife per year: the total number of births divided by the estimated number of nurses/midwives in the country. </w:t>
      </w:r>
    </w:p>
    <w:p w14:paraId="369BCB41" w14:textId="709AD800" w:rsidR="00CD50A7" w:rsidRDefault="00CD50A7" w:rsidP="00CD50A7">
      <w:pPr>
        <w:spacing w:after="0"/>
        <w:rPr>
          <w:rFonts w:eastAsia="Times New Roman" w:cstheme="minorHAnsi"/>
          <w:sz w:val="18"/>
          <w:szCs w:val="18"/>
          <w:lang w:eastAsia="en-AU"/>
        </w:rPr>
      </w:pPr>
      <w:r w:rsidRPr="008E0988">
        <w:rPr>
          <w:rFonts w:eastAsia="Times New Roman" w:cstheme="minorHAnsi"/>
          <w:sz w:val="18"/>
          <w:szCs w:val="18"/>
        </w:rPr>
        <w:t xml:space="preserve">*** </w:t>
      </w:r>
      <w:r w:rsidRPr="008E0988">
        <w:rPr>
          <w:rFonts w:eastAsia="Times New Roman" w:cstheme="minorHAnsi"/>
          <w:sz w:val="18"/>
          <w:szCs w:val="18"/>
          <w:lang w:eastAsia="en-AU"/>
        </w:rPr>
        <w:t>All patients are assumed to receive amoxicillin for 5 days (1.5 x 250mg/day at US$0.02/250mg</w:t>
      </w:r>
      <w:r w:rsidR="00991B3B">
        <w:rPr>
          <w:rFonts w:eastAsia="Times New Roman" w:cstheme="minorHAnsi"/>
          <w:sz w:val="18"/>
          <w:szCs w:val="18"/>
          <w:lang w:eastAsia="en-AU"/>
        </w:rPr>
        <w:fldChar w:fldCharType="begin" w:fldLock="1"/>
      </w:r>
      <w:r w:rsidR="008132E2">
        <w:rPr>
          <w:rFonts w:eastAsia="Times New Roman" w:cstheme="minorHAnsi"/>
          <w:sz w:val="18"/>
          <w:szCs w:val="18"/>
          <w:lang w:eastAsia="en-AU"/>
        </w:rPr>
        <w:instrText>ADDIN CSL_CITATION {"citationItems":[{"id":"ITEM-1","itemData":{"URL":"http://apps.who.int/medicinedocs/documents/s21982en/s21982en.pdf. ","author":[{"dropping-particle":"","family":"World Health Organization","given":"","non-dropping-particle":"","parse-names":false,"suffix":""}],"container-title":"2014","id":"ITEM-1","issued":{"date-parts":[["0"]]},"title":"International Drug Price Indicator Guide","type":"webpage"},"uris":["http://www.mendeley.com/documents/?uuid=9c073b2c-3122-43ef-9f84-c07444fceac8"]}],"mendeley":{"formattedCitation":"&lt;sup&gt;24&lt;/sup&gt;","plainTextFormattedCitation":"24","previouslyFormattedCitation":"&lt;sup&gt;24&lt;/sup&gt;"},"properties":{"noteIndex":0},"schema":"https://github.com/citation-style-language/schema/raw/master/csl-citation.json"}</w:instrText>
      </w:r>
      <w:r w:rsidR="00991B3B">
        <w:rPr>
          <w:rFonts w:eastAsia="Times New Roman" w:cstheme="minorHAnsi"/>
          <w:sz w:val="18"/>
          <w:szCs w:val="18"/>
          <w:lang w:eastAsia="en-AU"/>
        </w:rPr>
        <w:fldChar w:fldCharType="separate"/>
      </w:r>
      <w:r w:rsidR="00991B3B" w:rsidRPr="00991B3B">
        <w:rPr>
          <w:rFonts w:eastAsia="Times New Roman" w:cstheme="minorHAnsi"/>
          <w:noProof/>
          <w:sz w:val="18"/>
          <w:szCs w:val="18"/>
          <w:vertAlign w:val="superscript"/>
          <w:lang w:eastAsia="en-AU"/>
        </w:rPr>
        <w:t>24</w:t>
      </w:r>
      <w:r w:rsidR="00991B3B">
        <w:rPr>
          <w:rFonts w:eastAsia="Times New Roman" w:cstheme="minorHAnsi"/>
          <w:sz w:val="18"/>
          <w:szCs w:val="18"/>
          <w:lang w:eastAsia="en-AU"/>
        </w:rPr>
        <w:fldChar w:fldCharType="end"/>
      </w:r>
      <w:r w:rsidRPr="008E0988">
        <w:rPr>
          <w:rFonts w:eastAsia="Times New Roman" w:cstheme="minorHAnsi"/>
          <w:sz w:val="18"/>
          <w:szCs w:val="18"/>
          <w:lang w:eastAsia="en-AU"/>
        </w:rPr>
        <w:t>); 15% of cases are assumed to be complicated, requiring inpatient care and receiving 7 days of F-75 therapeutic milk (700mL/day with approximately 2.5L reconstituted milk per 400g carton at US$61.20</w:t>
      </w:r>
    </w:p>
    <w:p w14:paraId="701A7F6A" w14:textId="4396F8AC" w:rsidR="00CD50A7" w:rsidRDefault="00CD50A7" w:rsidP="00FA6650"/>
    <w:p w14:paraId="565E438D" w14:textId="77777777" w:rsidR="008132E2" w:rsidRDefault="00CD50A7" w:rsidP="008132E2">
      <w:pPr>
        <w:widowControl w:val="0"/>
        <w:autoSpaceDE w:val="0"/>
        <w:autoSpaceDN w:val="0"/>
        <w:adjustRightInd w:val="0"/>
        <w:spacing w:line="240" w:lineRule="auto"/>
        <w:rPr>
          <w:b/>
          <w:bCs/>
        </w:rPr>
      </w:pPr>
      <w:r w:rsidRPr="00CD50A7">
        <w:rPr>
          <w:b/>
          <w:bCs/>
        </w:rPr>
        <w:t>References:</w:t>
      </w:r>
      <w:r w:rsidR="00991B3B">
        <w:rPr>
          <w:b/>
          <w:bCs/>
        </w:rPr>
        <w:br/>
      </w:r>
    </w:p>
    <w:p w14:paraId="3F6056C0" w14:textId="4F4648A8"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Pr>
          <w:b/>
          <w:bCs/>
        </w:rPr>
        <w:fldChar w:fldCharType="begin" w:fldLock="1"/>
      </w:r>
      <w:r>
        <w:rPr>
          <w:b/>
          <w:bCs/>
        </w:rPr>
        <w:instrText xml:space="preserve">ADDIN Mendeley Bibliography CSL_BIBLIOGRAPHY </w:instrText>
      </w:r>
      <w:r>
        <w:rPr>
          <w:b/>
          <w:bCs/>
        </w:rPr>
        <w:fldChar w:fldCharType="separate"/>
      </w:r>
      <w:r w:rsidRPr="008132E2">
        <w:rPr>
          <w:rFonts w:ascii="Calibri" w:hAnsi="Calibri" w:cs="Calibri"/>
          <w:noProof/>
          <w:szCs w:val="24"/>
        </w:rPr>
        <w:t xml:space="preserve">1. </w:t>
      </w:r>
      <w:r w:rsidRPr="008132E2">
        <w:rPr>
          <w:rFonts w:ascii="Calibri" w:hAnsi="Calibri" w:cs="Calibri"/>
          <w:noProof/>
          <w:szCs w:val="24"/>
        </w:rPr>
        <w:tab/>
        <w:t xml:space="preserve">Shekar M, Kakietek J, Dayton Eberwein J, Walters D. An Investment Framework for Nutrition: Reaching the Global Targets for Stunting, Anemia, Breastfeeding, and Wasting. An Investment Framework for Nutrition: Reaching the Global Targets for Stunting, Anemia, Breastfeeding, and Wasting. 2017. </w:t>
      </w:r>
    </w:p>
    <w:p w14:paraId="6DECE3A8"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2. </w:t>
      </w:r>
      <w:r w:rsidRPr="008132E2">
        <w:rPr>
          <w:rFonts w:ascii="Calibri" w:hAnsi="Calibri" w:cs="Calibri"/>
          <w:noProof/>
          <w:szCs w:val="24"/>
        </w:rPr>
        <w:tab/>
        <w:t xml:space="preserve">Hoddinott J, Alderman H, Behrman JR, Haddad L, Horton S. The Economic Rationale for Investing in Stunting Reduction. Matern Child Nutr. 2013;9(suppl 2):69–82. </w:t>
      </w:r>
    </w:p>
    <w:p w14:paraId="33E6910E"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3. </w:t>
      </w:r>
      <w:r w:rsidRPr="008132E2">
        <w:rPr>
          <w:rFonts w:ascii="Calibri" w:hAnsi="Calibri" w:cs="Calibri"/>
          <w:noProof/>
          <w:szCs w:val="24"/>
        </w:rPr>
        <w:tab/>
        <w:t xml:space="preserve">Horton S, Ross J. The Economics of Iron Deficiency. Food Policy. 2003;28(1):51–75. </w:t>
      </w:r>
    </w:p>
    <w:p w14:paraId="2F5784A7"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4. </w:t>
      </w:r>
      <w:r w:rsidRPr="008132E2">
        <w:rPr>
          <w:rFonts w:ascii="Calibri" w:hAnsi="Calibri" w:cs="Calibri"/>
          <w:noProof/>
          <w:szCs w:val="24"/>
        </w:rPr>
        <w:tab/>
        <w:t xml:space="preserve">Dabla-Norris E, Minoiu C, Zanna L-F. Business Cycle Fluctuations, Large Shocks, and Development Aid: New Evidence. IMF Work Pap. 2010; </w:t>
      </w:r>
    </w:p>
    <w:p w14:paraId="4B88C7D8"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5. </w:t>
      </w:r>
      <w:r w:rsidRPr="008132E2">
        <w:rPr>
          <w:rFonts w:ascii="Calibri" w:hAnsi="Calibri" w:cs="Calibri"/>
          <w:noProof/>
          <w:szCs w:val="24"/>
        </w:rPr>
        <w:tab/>
        <w:t xml:space="preserve">Dang, H., Knack, S., and Rogers H. International aid and financial crises in donor countries. Policy Research Working Paper Series 5162, The World Bank. 2009. </w:t>
      </w:r>
    </w:p>
    <w:p w14:paraId="596786C1"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6. </w:t>
      </w:r>
      <w:r w:rsidRPr="008132E2">
        <w:rPr>
          <w:rFonts w:ascii="Calibri" w:hAnsi="Calibri" w:cs="Calibri"/>
          <w:noProof/>
          <w:szCs w:val="24"/>
        </w:rPr>
        <w:tab/>
        <w:t xml:space="preserve">Frot E. Aid and the Financial Crisis: Shall We Expect Development Aid to Fall? SSRN Electron J. 2011;1–26. </w:t>
      </w:r>
    </w:p>
    <w:p w14:paraId="73A9796B"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7. </w:t>
      </w:r>
      <w:r w:rsidRPr="008132E2">
        <w:rPr>
          <w:rFonts w:ascii="Calibri" w:hAnsi="Calibri" w:cs="Calibri"/>
          <w:noProof/>
          <w:szCs w:val="24"/>
        </w:rPr>
        <w:tab/>
        <w:t xml:space="preserve">Fuchs A, Dreher A, Nunnenkamp P. Determinants of donor generosity: A survey of the aid budget literature. World Dev. 2014; </w:t>
      </w:r>
    </w:p>
    <w:p w14:paraId="47A3FFDF"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8. </w:t>
      </w:r>
      <w:r w:rsidRPr="008132E2">
        <w:rPr>
          <w:rFonts w:ascii="Calibri" w:hAnsi="Calibri" w:cs="Calibri"/>
          <w:noProof/>
          <w:szCs w:val="24"/>
        </w:rPr>
        <w:tab/>
        <w:t xml:space="preserve">Stuckler D, Basu S, Wang SW, McKee M. Does recession reduce global health aid? Evidence from 15 high-income countries, 1975–2007. Bull World Health Organ. 2011; </w:t>
      </w:r>
    </w:p>
    <w:p w14:paraId="799BED8B"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9. </w:t>
      </w:r>
      <w:r w:rsidRPr="008132E2">
        <w:rPr>
          <w:rFonts w:ascii="Calibri" w:hAnsi="Calibri" w:cs="Calibri"/>
          <w:noProof/>
          <w:szCs w:val="24"/>
        </w:rPr>
        <w:tab/>
        <w:t xml:space="preserve">Leach-Kemon K, Chou DP, Schneider MT, Tardif A, Dieleman JL, Brooks BPC, et al. The global financial crisis has led to a slowdown in growth of funding to improve health in many developing countries. Health Aff. 2012; </w:t>
      </w:r>
    </w:p>
    <w:p w14:paraId="6DF4DE09"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10. </w:t>
      </w:r>
      <w:r w:rsidRPr="008132E2">
        <w:rPr>
          <w:rFonts w:ascii="Calibri" w:hAnsi="Calibri" w:cs="Calibri"/>
          <w:noProof/>
          <w:szCs w:val="24"/>
        </w:rPr>
        <w:tab/>
        <w:t xml:space="preserve">Dieleman JL, Schneider MT, Haakenstad A, Singh L, Sadat N, Birger M, et al. Development assistance for health: Past trends, associations, and the future of international financial flows for health. Lancet. 2016; </w:t>
      </w:r>
    </w:p>
    <w:p w14:paraId="65F6F8E0"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11. </w:t>
      </w:r>
      <w:r w:rsidRPr="008132E2">
        <w:rPr>
          <w:rFonts w:ascii="Calibri" w:hAnsi="Calibri" w:cs="Calibri"/>
          <w:noProof/>
          <w:szCs w:val="24"/>
        </w:rPr>
        <w:tab/>
        <w:t>Avenir Health. OneHealth Tool (2019) [Internet]. Available from: https://www.avenirhealth.org/software-onehealth.php</w:t>
      </w:r>
    </w:p>
    <w:p w14:paraId="4EB6A215"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12. </w:t>
      </w:r>
      <w:r w:rsidRPr="008132E2">
        <w:rPr>
          <w:rFonts w:ascii="Calibri" w:hAnsi="Calibri" w:cs="Calibri"/>
          <w:noProof/>
          <w:szCs w:val="24"/>
        </w:rPr>
        <w:tab/>
        <w:t xml:space="preserve">Bhutta ZA, Das JK, Rizvi A, Gaffey MF, Walker N, Horton S, et al. Evidence-based interventions for improvement of maternal and child nutrition: What can be done and at what cost? Vol. 382, The Lancet. Lancet Publishing Group; 2013. p. 452–77. </w:t>
      </w:r>
    </w:p>
    <w:p w14:paraId="4F74F15F"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13. </w:t>
      </w:r>
      <w:r w:rsidRPr="008132E2">
        <w:rPr>
          <w:rFonts w:ascii="Calibri" w:hAnsi="Calibri" w:cs="Calibri"/>
          <w:noProof/>
          <w:szCs w:val="24"/>
        </w:rPr>
        <w:tab/>
        <w:t xml:space="preserve">Stenberg K, Axelson H, Sheehan P, Anderson I, Gülmezoglu AM, Temmerman M, et al. Advancing social and economic development by investing in women’s and children’s health: A new Global Investment Framework. The Lancet. 2014. </w:t>
      </w:r>
    </w:p>
    <w:p w14:paraId="545C9902"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lastRenderedPageBreak/>
        <w:t xml:space="preserve">14. </w:t>
      </w:r>
      <w:r w:rsidRPr="008132E2">
        <w:rPr>
          <w:rFonts w:ascii="Calibri" w:hAnsi="Calibri" w:cs="Calibri"/>
          <w:noProof/>
          <w:szCs w:val="24"/>
        </w:rPr>
        <w:tab/>
        <w:t xml:space="preserve">Stenberg K, Hanssen O, Edejer TTT, Bertram M, Brindley C, Meshreky A, et al. Financing transformative health systems towards achievement of the health Sustainable Development Goals: a model for projected resource needs in 67 low-income and middle-income countries. Lancet Glob Heal. 2017; </w:t>
      </w:r>
    </w:p>
    <w:p w14:paraId="7F66D736"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15. </w:t>
      </w:r>
      <w:r w:rsidRPr="008132E2">
        <w:rPr>
          <w:rFonts w:ascii="Calibri" w:hAnsi="Calibri" w:cs="Calibri"/>
          <w:noProof/>
          <w:szCs w:val="24"/>
        </w:rPr>
        <w:tab/>
        <w:t xml:space="preserve">Sinha B, Chowdhury R, Upadhyay RP, Taneja S, Martines J, Bahl R, et al. Integrated interventions delivered in health systems, home, and community have the highest impact on breastfeeding outcomes in low- and middle-income countries. J Nutr. 2017; </w:t>
      </w:r>
    </w:p>
    <w:p w14:paraId="275B2BA1"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16. </w:t>
      </w:r>
      <w:r w:rsidRPr="008132E2">
        <w:rPr>
          <w:rFonts w:ascii="Calibri" w:hAnsi="Calibri" w:cs="Calibri"/>
          <w:noProof/>
          <w:szCs w:val="24"/>
        </w:rPr>
        <w:tab/>
        <w:t xml:space="preserve">Boundy EO, Dastjerdi R, Spiegelman D, Fawzi WW, Missmer SA, Lieberman E, et al. Kangaroo mother care and neonatal outcomes: A meta-analysis. Pediatrics. 2016; </w:t>
      </w:r>
    </w:p>
    <w:p w14:paraId="6FA58073"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17. </w:t>
      </w:r>
      <w:r w:rsidRPr="008132E2">
        <w:rPr>
          <w:rFonts w:ascii="Calibri" w:hAnsi="Calibri" w:cs="Calibri"/>
          <w:noProof/>
          <w:szCs w:val="24"/>
        </w:rPr>
        <w:tab/>
        <w:t xml:space="preserve">Lawn JE, Mwansa-Kambafwile J, Horta BL, Barros FC, Cousens S. Kangaroo mother care’ to prevent neonatal deaths due to preterm birth complications. Int J Epidemiol. 2010; </w:t>
      </w:r>
    </w:p>
    <w:p w14:paraId="3B3DA820"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18. </w:t>
      </w:r>
      <w:r w:rsidRPr="008132E2">
        <w:rPr>
          <w:rFonts w:ascii="Calibri" w:hAnsi="Calibri" w:cs="Calibri"/>
          <w:noProof/>
          <w:szCs w:val="24"/>
        </w:rPr>
        <w:tab/>
        <w:t xml:space="preserve">Panjwani A, Heidkamp R. Complementary feeding interventions have a small but significant impact on linear and ponderal growth of children in low- and middle-income countries: A systematic review and meta-analysis. J Nutr. 2017; </w:t>
      </w:r>
    </w:p>
    <w:p w14:paraId="4767A047"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19. </w:t>
      </w:r>
      <w:r w:rsidRPr="008132E2">
        <w:rPr>
          <w:rFonts w:ascii="Calibri" w:hAnsi="Calibri" w:cs="Calibri"/>
          <w:noProof/>
          <w:szCs w:val="24"/>
        </w:rPr>
        <w:tab/>
        <w:t xml:space="preserve">Bhutta ZA, Das JK, Rizvi A, Gaffey MF, Walker N, Horton S, et al. Evidence-based interventions for improvement of maternal and child nutrition: What can be done and at what cost? The Lancet. 2013. </w:t>
      </w:r>
    </w:p>
    <w:p w14:paraId="6D7C96A9"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20. </w:t>
      </w:r>
      <w:r w:rsidRPr="008132E2">
        <w:rPr>
          <w:rFonts w:ascii="Calibri" w:hAnsi="Calibri" w:cs="Calibri"/>
          <w:noProof/>
          <w:szCs w:val="24"/>
        </w:rPr>
        <w:tab/>
        <w:t xml:space="preserve">Lenters LM, Wazny K, Webb P, Ahmed T, Bhutta ZA. Treatment of severe and moderate acute malnutrition in low- and middle-income settings: A systematic review, meta-analysis and Delphi process. BMC Public Health. 2013. </w:t>
      </w:r>
    </w:p>
    <w:p w14:paraId="5FACCD8D"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21. </w:t>
      </w:r>
      <w:r w:rsidRPr="008132E2">
        <w:rPr>
          <w:rFonts w:ascii="Calibri" w:hAnsi="Calibri" w:cs="Calibri"/>
          <w:noProof/>
          <w:szCs w:val="24"/>
        </w:rPr>
        <w:tab/>
        <w:t xml:space="preserve">Imdad A, Mayo-Wilson E, Herzer K, Bhutta ZA. Vitamin A supplementation for preventing morbidity and mortality in children from six months to five years of age. Cochrane Database Syst Rev. 2017; </w:t>
      </w:r>
    </w:p>
    <w:p w14:paraId="03567351"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22. </w:t>
      </w:r>
      <w:r w:rsidRPr="008132E2">
        <w:rPr>
          <w:rFonts w:ascii="Calibri" w:hAnsi="Calibri" w:cs="Calibri"/>
          <w:noProof/>
          <w:szCs w:val="24"/>
        </w:rPr>
        <w:tab/>
        <w:t xml:space="preserve">Ota E, Hori H, Mori R, Tobe-Gai R, Farrar D. Antenatal dietary education and supplementation to increase energy and protein intake. Cochrane Database of Systematic Reviews. 2015. </w:t>
      </w:r>
    </w:p>
    <w:p w14:paraId="26929CC8"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szCs w:val="24"/>
        </w:rPr>
      </w:pPr>
      <w:r w:rsidRPr="008132E2">
        <w:rPr>
          <w:rFonts w:ascii="Calibri" w:hAnsi="Calibri" w:cs="Calibri"/>
          <w:noProof/>
          <w:szCs w:val="24"/>
        </w:rPr>
        <w:t xml:space="preserve">23. </w:t>
      </w:r>
      <w:r w:rsidRPr="008132E2">
        <w:rPr>
          <w:rFonts w:ascii="Calibri" w:hAnsi="Calibri" w:cs="Calibri"/>
          <w:noProof/>
          <w:szCs w:val="24"/>
        </w:rPr>
        <w:tab/>
        <w:t xml:space="preserve">World Health Organization. WHO-CHOICE Results of Unit Costs for patient services for the 14 GBD Regions. </w:t>
      </w:r>
    </w:p>
    <w:p w14:paraId="61955A87" w14:textId="77777777" w:rsidR="008132E2" w:rsidRPr="008132E2" w:rsidRDefault="008132E2" w:rsidP="008132E2">
      <w:pPr>
        <w:widowControl w:val="0"/>
        <w:autoSpaceDE w:val="0"/>
        <w:autoSpaceDN w:val="0"/>
        <w:adjustRightInd w:val="0"/>
        <w:spacing w:line="240" w:lineRule="auto"/>
        <w:ind w:left="640" w:hanging="640"/>
        <w:rPr>
          <w:rFonts w:ascii="Calibri" w:hAnsi="Calibri" w:cs="Calibri"/>
          <w:noProof/>
        </w:rPr>
      </w:pPr>
      <w:r w:rsidRPr="008132E2">
        <w:rPr>
          <w:rFonts w:ascii="Calibri" w:hAnsi="Calibri" w:cs="Calibri"/>
          <w:noProof/>
          <w:szCs w:val="24"/>
        </w:rPr>
        <w:t xml:space="preserve">24. </w:t>
      </w:r>
      <w:r w:rsidRPr="008132E2">
        <w:rPr>
          <w:rFonts w:ascii="Calibri" w:hAnsi="Calibri" w:cs="Calibri"/>
          <w:noProof/>
          <w:szCs w:val="24"/>
        </w:rPr>
        <w:tab/>
        <w:t xml:space="preserve">World Health Organization. International Drug Price Indicator Guide [Internet]. 2014. Available from: http://apps.who.int/medicinedocs/documents/s21982en/s21982en.pdf. </w:t>
      </w:r>
    </w:p>
    <w:p w14:paraId="11CEBF5F" w14:textId="10828AC2" w:rsidR="00CD50A7" w:rsidRPr="00CD50A7" w:rsidRDefault="008132E2" w:rsidP="00FA6650">
      <w:pPr>
        <w:rPr>
          <w:b/>
          <w:bCs/>
        </w:rPr>
      </w:pPr>
      <w:r>
        <w:rPr>
          <w:b/>
          <w:bCs/>
        </w:rPr>
        <w:fldChar w:fldCharType="end"/>
      </w:r>
    </w:p>
    <w:sectPr w:rsidR="00CD50A7" w:rsidRPr="00CD50A7" w:rsidSect="00FA665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CB9C53" w14:textId="77777777" w:rsidR="00DB0CA0" w:rsidRDefault="00DB0CA0" w:rsidP="00FA6650">
      <w:pPr>
        <w:spacing w:after="0" w:line="240" w:lineRule="auto"/>
      </w:pPr>
      <w:r>
        <w:separator/>
      </w:r>
    </w:p>
  </w:endnote>
  <w:endnote w:type="continuationSeparator" w:id="0">
    <w:p w14:paraId="5D2D9857" w14:textId="77777777" w:rsidR="00DB0CA0" w:rsidRDefault="00DB0CA0" w:rsidP="00FA66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34AAEC" w14:textId="77777777" w:rsidR="008132E2" w:rsidRDefault="008132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70357542"/>
      <w:docPartObj>
        <w:docPartGallery w:val="Page Numbers (Bottom of Page)"/>
        <w:docPartUnique/>
      </w:docPartObj>
    </w:sdtPr>
    <w:sdtEndPr>
      <w:rPr>
        <w:noProof/>
      </w:rPr>
    </w:sdtEndPr>
    <w:sdtContent>
      <w:p w14:paraId="190ACF7B" w14:textId="290BB697" w:rsidR="008132E2" w:rsidRDefault="008132E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E369EE3" w14:textId="77777777" w:rsidR="008132E2" w:rsidRDefault="008132E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1007E0" w14:textId="77777777" w:rsidR="008132E2" w:rsidRDefault="008132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4CB678" w14:textId="77777777" w:rsidR="00DB0CA0" w:rsidRDefault="00DB0CA0" w:rsidP="00FA6650">
      <w:pPr>
        <w:spacing w:after="0" w:line="240" w:lineRule="auto"/>
      </w:pPr>
      <w:r>
        <w:separator/>
      </w:r>
    </w:p>
  </w:footnote>
  <w:footnote w:type="continuationSeparator" w:id="0">
    <w:p w14:paraId="4DDC47D1" w14:textId="77777777" w:rsidR="00DB0CA0" w:rsidRDefault="00DB0CA0" w:rsidP="00FA6650">
      <w:pPr>
        <w:spacing w:after="0" w:line="240" w:lineRule="auto"/>
      </w:pPr>
      <w:r>
        <w:continuationSeparator/>
      </w:r>
    </w:p>
  </w:footnote>
  <w:footnote w:id="1">
    <w:p w14:paraId="58EDFFAF" w14:textId="77777777" w:rsidR="00FA6650" w:rsidRPr="00D926F9" w:rsidRDefault="00FA6650" w:rsidP="00FA6650">
      <w:pPr>
        <w:pStyle w:val="FootnoteText"/>
        <w:rPr>
          <w:rStyle w:val="FootnoteReference"/>
          <w:rFonts w:ascii="Calibri" w:hAnsi="Calibri" w:cs="Calibri"/>
        </w:rPr>
      </w:pPr>
      <w:r w:rsidRPr="00D926F9">
        <w:rPr>
          <w:rStyle w:val="FootnoteReference"/>
          <w:rFonts w:ascii="Calibri" w:hAnsi="Calibri" w:cs="Calibri"/>
          <w:color w:val="000000" w:themeColor="text1"/>
        </w:rPr>
        <w:footnoteRef/>
      </w:r>
      <w:r w:rsidRPr="00D926F9">
        <w:rPr>
          <w:rFonts w:ascii="Calibri" w:hAnsi="Calibri" w:cs="Calibri"/>
          <w:color w:val="000000" w:themeColor="text1"/>
        </w:rPr>
        <w:t xml:space="preserve"> </w:t>
      </w:r>
      <w:r w:rsidRPr="00D926F9">
        <w:rPr>
          <w:rStyle w:val="Hyperlink"/>
          <w:rFonts w:ascii="Calibri" w:hAnsi="Calibri" w:cs="Calibri"/>
          <w:color w:val="000000" w:themeColor="text1"/>
        </w:rPr>
        <w:t xml:space="preserve">This includes Agriculture (codes 311 and 313 in CRS), Education (110), Health (120, which includes Basic Nutrition), Reproductive Health (130), Social Protection (16010), and WASH (140). </w:t>
      </w:r>
    </w:p>
  </w:footnote>
  <w:footnote w:id="2">
    <w:p w14:paraId="3D76D057" w14:textId="77777777" w:rsidR="00FA6650" w:rsidRPr="00DF77CF" w:rsidRDefault="00FA6650" w:rsidP="00FA6650">
      <w:pPr>
        <w:pStyle w:val="FootnoteText"/>
        <w:rPr>
          <w:rFonts w:ascii="Times New Roman" w:hAnsi="Times New Roman" w:cs="Times New Roman"/>
        </w:rPr>
      </w:pPr>
      <w:r w:rsidRPr="00D926F9">
        <w:rPr>
          <w:rStyle w:val="FootnoteReference"/>
          <w:rFonts w:ascii="Calibri" w:hAnsi="Calibri" w:cs="Calibri"/>
        </w:rPr>
        <w:footnoteRef/>
      </w:r>
      <w:r w:rsidRPr="00D926F9">
        <w:rPr>
          <w:rFonts w:ascii="Calibri" w:hAnsi="Calibri" w:cs="Calibri"/>
        </w:rPr>
        <w:t xml:space="preserve"> </w:t>
      </w:r>
      <w:r w:rsidRPr="00D926F9">
        <w:rPr>
          <w:rStyle w:val="Hyperlink"/>
          <w:rFonts w:ascii="Calibri" w:hAnsi="Calibri" w:cs="Calibri"/>
          <w:color w:val="000000" w:themeColor="text1"/>
        </w:rPr>
        <w:t>In projecting total aid based on average donor elasticity, we assume that ODA from non-DAC countries (which accounted for under 10% of total ODA in 2018) is equally responsive to macroeconomic conditions as the DAC aid on which our elasticity estimates are based.</w:t>
      </w:r>
      <w:r w:rsidRPr="00DF77CF">
        <w:rPr>
          <w:rStyle w:val="Hyperlink"/>
          <w:rFonts w:ascii="Times New Roman" w:hAnsi="Times New Roman" w:cs="Times New Roman"/>
          <w:color w:val="000000" w:themeColor="text1"/>
        </w:rPr>
        <w:t xml:space="preserve"> </w:t>
      </w:r>
    </w:p>
  </w:footnote>
  <w:footnote w:id="3">
    <w:p w14:paraId="337B0F14" w14:textId="77777777" w:rsidR="00FA6650" w:rsidRPr="00DF77CF" w:rsidRDefault="00FA6650" w:rsidP="00FA6650">
      <w:pPr>
        <w:pStyle w:val="FootnoteText"/>
        <w:rPr>
          <w:rFonts w:ascii="Times New Roman" w:hAnsi="Times New Roman" w:cs="Times New Roman"/>
        </w:rPr>
      </w:pPr>
      <w:r w:rsidRPr="00DF77CF">
        <w:rPr>
          <w:rStyle w:val="FootnoteReference"/>
          <w:rFonts w:ascii="Times New Roman" w:hAnsi="Times New Roman" w:cs="Times New Roman"/>
        </w:rPr>
        <w:footnoteRef/>
      </w:r>
      <w:r w:rsidRPr="00DF77CF">
        <w:rPr>
          <w:rFonts w:ascii="Times New Roman" w:hAnsi="Times New Roman" w:cs="Times New Roman"/>
        </w:rPr>
        <w:t xml:space="preserve"> </w:t>
      </w:r>
      <w:r w:rsidRPr="00DF77CF">
        <w:rPr>
          <w:rStyle w:val="Hyperlink"/>
          <w:rFonts w:ascii="Times New Roman" w:hAnsi="Times New Roman" w:cs="Times New Roman"/>
          <w:color w:val="000000" w:themeColor="text1"/>
        </w:rPr>
        <w:t xml:space="preserve">Based on Results for Development’s analysis of ODA disbursements to Guinea, Liberia, and Sierra Leone during the Ebola epidemic (2014-2016) using the OECD Creditor Reporting System database. </w:t>
      </w:r>
    </w:p>
  </w:footnote>
  <w:footnote w:id="4">
    <w:p w14:paraId="12FE4969" w14:textId="77777777" w:rsidR="00FA6650" w:rsidRPr="00380FED" w:rsidRDefault="00FA6650" w:rsidP="00FA6650">
      <w:pPr>
        <w:pStyle w:val="FootnoteText"/>
        <w:rPr>
          <w:rFonts w:ascii="Times New Roman" w:hAnsi="Times New Roman" w:cs="Times New Roman"/>
        </w:rPr>
      </w:pPr>
      <w:r w:rsidRPr="00DF77CF">
        <w:rPr>
          <w:rStyle w:val="FootnoteReference"/>
          <w:rFonts w:ascii="Times New Roman" w:hAnsi="Times New Roman" w:cs="Times New Roman"/>
        </w:rPr>
        <w:footnoteRef/>
      </w:r>
      <w:r w:rsidRPr="00DF77CF">
        <w:rPr>
          <w:rFonts w:ascii="Times New Roman" w:hAnsi="Times New Roman" w:cs="Times New Roman"/>
        </w:rPr>
        <w:t xml:space="preserve"> Based on ODA disbursements for</w:t>
      </w:r>
      <w:r w:rsidRPr="00A613F7">
        <w:rPr>
          <w:rFonts w:ascii="Times New Roman" w:hAnsi="Times New Roman" w:cs="Times New Roman"/>
        </w:rPr>
        <w:t xml:space="preserve"> the Basic Nutrition purpose code (12240) for Guinea, Sierra Leone, and Liberia</w:t>
      </w:r>
      <w:r w:rsidRPr="004A30A7">
        <w:rPr>
          <w:rFonts w:ascii="Times New Roman" w:hAnsi="Times New Roman" w:cs="Times New Roman"/>
        </w:rPr>
        <w:t xml:space="preserve"> (</w:t>
      </w:r>
      <w:r w:rsidRPr="00DF77CF">
        <w:rPr>
          <w:rFonts w:ascii="Times New Roman" w:hAnsi="Times New Roman" w:cs="Times New Roman"/>
        </w:rPr>
        <w:t xml:space="preserve">OECD Creditor Reporting System database). </w:t>
      </w:r>
    </w:p>
  </w:footnote>
  <w:footnote w:id="5">
    <w:p w14:paraId="4052FE23" w14:textId="2FA8669B" w:rsidR="00FA6650" w:rsidRPr="00380FED" w:rsidRDefault="00FA6650" w:rsidP="00FA6650">
      <w:pPr>
        <w:pStyle w:val="FootnoteText"/>
        <w:rPr>
          <w:rFonts w:ascii="Times New Roman" w:hAnsi="Times New Roman" w:cs="Times New Roman"/>
        </w:rPr>
      </w:pPr>
      <w:r w:rsidRPr="00380FED">
        <w:rPr>
          <w:rStyle w:val="FootnoteReference"/>
          <w:rFonts w:ascii="Times New Roman" w:hAnsi="Times New Roman" w:cs="Times New Roman"/>
        </w:rPr>
        <w:footnoteRef/>
      </w:r>
      <w:r w:rsidRPr="00380FED">
        <w:rPr>
          <w:rFonts w:ascii="Times New Roman" w:hAnsi="Times New Roman" w:cs="Times New Roman"/>
        </w:rPr>
        <w:t xml:space="preserve"> </w:t>
      </w:r>
      <w:r w:rsidRPr="00DF77CF">
        <w:rPr>
          <w:rStyle w:val="Hyperlink"/>
          <w:rFonts w:ascii="Times New Roman" w:hAnsi="Times New Roman" w:cs="Times New Roman"/>
          <w:color w:val="000000" w:themeColor="text1"/>
        </w:rPr>
        <w:t xml:space="preserve">For 2016-2018, spending on nutritional deficiencies accounted for just 2% of </w:t>
      </w:r>
      <w:r w:rsidRPr="00A613F7">
        <w:rPr>
          <w:rStyle w:val="Hyperlink"/>
          <w:rFonts w:ascii="Times New Roman" w:hAnsi="Times New Roman" w:cs="Times New Roman"/>
          <w:color w:val="000000" w:themeColor="text1"/>
        </w:rPr>
        <w:t>per capita general</w:t>
      </w:r>
      <w:r w:rsidRPr="004A30A7">
        <w:rPr>
          <w:rStyle w:val="Hyperlink"/>
          <w:rFonts w:ascii="Times New Roman" w:hAnsi="Times New Roman" w:cs="Times New Roman"/>
          <w:color w:val="000000" w:themeColor="text1"/>
        </w:rPr>
        <w:t xml:space="preserve"> government health expenditure</w:t>
      </w:r>
      <w:r w:rsidRPr="00DF77CF">
        <w:rPr>
          <w:rStyle w:val="Hyperlink"/>
          <w:rFonts w:ascii="Times New Roman" w:hAnsi="Times New Roman" w:cs="Times New Roman"/>
          <w:color w:val="000000" w:themeColor="text1"/>
        </w:rPr>
        <w:t xml:space="preserve"> in </w:t>
      </w:r>
      <w:r w:rsidR="007D3FBE">
        <w:rPr>
          <w:rStyle w:val="Hyperlink"/>
          <w:rFonts w:ascii="Times New Roman" w:hAnsi="Times New Roman" w:cs="Times New Roman"/>
          <w:color w:val="000000" w:themeColor="text1"/>
        </w:rPr>
        <w:t>LMIC</w:t>
      </w:r>
      <w:r w:rsidRPr="00DF77CF">
        <w:rPr>
          <w:rStyle w:val="Hyperlink"/>
          <w:rFonts w:ascii="Times New Roman" w:hAnsi="Times New Roman" w:cs="Times New Roman"/>
          <w:color w:val="000000" w:themeColor="text1"/>
        </w:rPr>
        <w:t xml:space="preserve"> (WHO 2020).</w:t>
      </w:r>
    </w:p>
  </w:footnote>
  <w:footnote w:id="6">
    <w:p w14:paraId="4AEC5902" w14:textId="77777777" w:rsidR="00FA6650" w:rsidRPr="00380FED" w:rsidRDefault="00FA6650" w:rsidP="00FA6650">
      <w:pPr>
        <w:pStyle w:val="FootnoteText"/>
        <w:rPr>
          <w:rFonts w:ascii="Times New Roman" w:hAnsi="Times New Roman" w:cs="Times New Roman"/>
        </w:rPr>
      </w:pPr>
      <w:r w:rsidRPr="00380FED">
        <w:rPr>
          <w:rStyle w:val="FootnoteReference"/>
          <w:rFonts w:ascii="Times New Roman" w:hAnsi="Times New Roman" w:cs="Times New Roman"/>
        </w:rPr>
        <w:footnoteRef/>
      </w:r>
      <w:r w:rsidRPr="00380FED">
        <w:rPr>
          <w:rFonts w:ascii="Times New Roman" w:hAnsi="Times New Roman" w:cs="Times New Roman"/>
        </w:rPr>
        <w:t xml:space="preserve"> Health expenditure data was not available for Cuba, Montenegro, North Korea, Somalia, South Sudan, and Swaziland.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AF1BCD" w14:textId="77777777" w:rsidR="008132E2" w:rsidRDefault="008132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121438" w14:textId="77777777" w:rsidR="008132E2" w:rsidRDefault="008132E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56391C" w14:textId="77777777" w:rsidR="008132E2" w:rsidRDefault="008132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B52E87"/>
    <w:multiLevelType w:val="hybridMultilevel"/>
    <w:tmpl w:val="017649D6"/>
    <w:lvl w:ilvl="0" w:tplc="E4202CF0">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2C451DB7"/>
    <w:multiLevelType w:val="hybridMultilevel"/>
    <w:tmpl w:val="EA9880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oNotDisplayPageBoundarie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650"/>
    <w:rsid w:val="000B795B"/>
    <w:rsid w:val="00154A8C"/>
    <w:rsid w:val="00163E3F"/>
    <w:rsid w:val="00195C36"/>
    <w:rsid w:val="001C129D"/>
    <w:rsid w:val="001F214A"/>
    <w:rsid w:val="00223137"/>
    <w:rsid w:val="002325C4"/>
    <w:rsid w:val="002337E5"/>
    <w:rsid w:val="00245B63"/>
    <w:rsid w:val="00247947"/>
    <w:rsid w:val="002B0B11"/>
    <w:rsid w:val="002B4D57"/>
    <w:rsid w:val="002D3B5A"/>
    <w:rsid w:val="002E1CAD"/>
    <w:rsid w:val="003272AF"/>
    <w:rsid w:val="00327F80"/>
    <w:rsid w:val="00331F20"/>
    <w:rsid w:val="003344F7"/>
    <w:rsid w:val="00345879"/>
    <w:rsid w:val="00366149"/>
    <w:rsid w:val="003726F8"/>
    <w:rsid w:val="003F3C60"/>
    <w:rsid w:val="00407650"/>
    <w:rsid w:val="004533D0"/>
    <w:rsid w:val="0049556E"/>
    <w:rsid w:val="0049704C"/>
    <w:rsid w:val="00523A2F"/>
    <w:rsid w:val="005854CB"/>
    <w:rsid w:val="006276C5"/>
    <w:rsid w:val="006955CF"/>
    <w:rsid w:val="006B6B42"/>
    <w:rsid w:val="00753DCE"/>
    <w:rsid w:val="00755B53"/>
    <w:rsid w:val="00794942"/>
    <w:rsid w:val="007D0F79"/>
    <w:rsid w:val="007D3FBE"/>
    <w:rsid w:val="007D4904"/>
    <w:rsid w:val="007E389D"/>
    <w:rsid w:val="007E7CF6"/>
    <w:rsid w:val="008132E2"/>
    <w:rsid w:val="00814ED0"/>
    <w:rsid w:val="00876AC5"/>
    <w:rsid w:val="008A2DFC"/>
    <w:rsid w:val="00991B3B"/>
    <w:rsid w:val="009C0D74"/>
    <w:rsid w:val="009F420C"/>
    <w:rsid w:val="00A05D8A"/>
    <w:rsid w:val="00A1119B"/>
    <w:rsid w:val="00A510DD"/>
    <w:rsid w:val="00A60EEF"/>
    <w:rsid w:val="00AE6AC7"/>
    <w:rsid w:val="00B51CB1"/>
    <w:rsid w:val="00B8582B"/>
    <w:rsid w:val="00BC7489"/>
    <w:rsid w:val="00C071F0"/>
    <w:rsid w:val="00C30A61"/>
    <w:rsid w:val="00C818E5"/>
    <w:rsid w:val="00CD50A7"/>
    <w:rsid w:val="00CE3CD3"/>
    <w:rsid w:val="00CF78EE"/>
    <w:rsid w:val="00D1056F"/>
    <w:rsid w:val="00D219AB"/>
    <w:rsid w:val="00D639DE"/>
    <w:rsid w:val="00D926F9"/>
    <w:rsid w:val="00DA3EBE"/>
    <w:rsid w:val="00DB0CA0"/>
    <w:rsid w:val="00DD37BA"/>
    <w:rsid w:val="00F10F1E"/>
    <w:rsid w:val="00F21F34"/>
    <w:rsid w:val="00FA08E7"/>
    <w:rsid w:val="00FA66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D7BFA8"/>
  <w15:chartTrackingRefBased/>
  <w15:docId w15:val="{F1F8D32A-2C3C-4ED1-BCA8-839C4DAE4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6650"/>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FA6650"/>
    <w:pPr>
      <w:ind w:left="720"/>
      <w:contextualSpacing/>
    </w:pPr>
  </w:style>
  <w:style w:type="character" w:customStyle="1" w:styleId="ListParagraphChar">
    <w:name w:val="List Paragraph Char"/>
    <w:basedOn w:val="DefaultParagraphFont"/>
    <w:link w:val="ListParagraph"/>
    <w:uiPriority w:val="34"/>
    <w:rsid w:val="00FA6650"/>
    <w:rPr>
      <w:lang w:val="en-AU"/>
    </w:rPr>
  </w:style>
  <w:style w:type="character" w:styleId="Hyperlink">
    <w:name w:val="Hyperlink"/>
    <w:basedOn w:val="DefaultParagraphFont"/>
    <w:uiPriority w:val="99"/>
    <w:unhideWhenUsed/>
    <w:rsid w:val="00FA6650"/>
    <w:rPr>
      <w:color w:val="0563C1" w:themeColor="hyperlink"/>
      <w:u w:val="single"/>
    </w:rPr>
  </w:style>
  <w:style w:type="paragraph" w:styleId="FootnoteText">
    <w:name w:val="footnote text"/>
    <w:basedOn w:val="Normal"/>
    <w:link w:val="FootnoteTextChar"/>
    <w:uiPriority w:val="99"/>
    <w:semiHidden/>
    <w:unhideWhenUsed/>
    <w:rsid w:val="00FA6650"/>
    <w:pPr>
      <w:spacing w:after="0" w:line="240" w:lineRule="auto"/>
    </w:pPr>
    <w:rPr>
      <w:sz w:val="20"/>
      <w:szCs w:val="20"/>
      <w:lang w:val="en-US"/>
    </w:rPr>
  </w:style>
  <w:style w:type="character" w:customStyle="1" w:styleId="FootnoteTextChar">
    <w:name w:val="Footnote Text Char"/>
    <w:basedOn w:val="DefaultParagraphFont"/>
    <w:link w:val="FootnoteText"/>
    <w:uiPriority w:val="99"/>
    <w:semiHidden/>
    <w:rsid w:val="00FA6650"/>
    <w:rPr>
      <w:sz w:val="20"/>
      <w:szCs w:val="20"/>
      <w:lang w:val="en-US"/>
    </w:rPr>
  </w:style>
  <w:style w:type="character" w:styleId="FootnoteReference">
    <w:name w:val="footnote reference"/>
    <w:basedOn w:val="DefaultParagraphFont"/>
    <w:uiPriority w:val="99"/>
    <w:semiHidden/>
    <w:unhideWhenUsed/>
    <w:rsid w:val="00FA6650"/>
    <w:rPr>
      <w:vertAlign w:val="superscript"/>
    </w:rPr>
  </w:style>
  <w:style w:type="table" w:styleId="TableGrid">
    <w:name w:val="Table Grid"/>
    <w:basedOn w:val="TableNormal"/>
    <w:uiPriority w:val="39"/>
    <w:rsid w:val="00FA6650"/>
    <w:pPr>
      <w:spacing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4530479559457075764msolistparagraph">
    <w:name w:val="m_-4530479559457075764msolistparagraph"/>
    <w:basedOn w:val="Normal"/>
    <w:rsid w:val="00FA6650"/>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FA66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6650"/>
    <w:rPr>
      <w:lang w:val="en-AU"/>
    </w:rPr>
  </w:style>
  <w:style w:type="paragraph" w:styleId="Footer">
    <w:name w:val="footer"/>
    <w:basedOn w:val="Normal"/>
    <w:link w:val="FooterChar"/>
    <w:uiPriority w:val="99"/>
    <w:unhideWhenUsed/>
    <w:rsid w:val="00FA66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6650"/>
    <w:rPr>
      <w:lang w:val="en-AU"/>
    </w:rPr>
  </w:style>
  <w:style w:type="paragraph" w:styleId="BalloonText">
    <w:name w:val="Balloon Text"/>
    <w:basedOn w:val="Normal"/>
    <w:link w:val="BalloonTextChar"/>
    <w:uiPriority w:val="99"/>
    <w:semiHidden/>
    <w:unhideWhenUsed/>
    <w:rsid w:val="00FA66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6650"/>
    <w:rPr>
      <w:rFonts w:ascii="Segoe UI" w:hAnsi="Segoe UI" w:cs="Segoe UI"/>
      <w:sz w:val="18"/>
      <w:szCs w:val="18"/>
      <w:lang w:val="en-AU"/>
    </w:rPr>
  </w:style>
  <w:style w:type="paragraph" w:styleId="Caption">
    <w:name w:val="caption"/>
    <w:basedOn w:val="Normal"/>
    <w:next w:val="Normal"/>
    <w:link w:val="CaptionChar"/>
    <w:uiPriority w:val="35"/>
    <w:unhideWhenUsed/>
    <w:qFormat/>
    <w:rsid w:val="00CD50A7"/>
    <w:pPr>
      <w:spacing w:after="200" w:line="240" w:lineRule="auto"/>
    </w:pPr>
    <w:rPr>
      <w:rFonts w:asciiTheme="majorHAnsi" w:hAnsiTheme="majorHAnsi"/>
      <w:b/>
      <w:bCs/>
      <w:szCs w:val="18"/>
    </w:rPr>
  </w:style>
  <w:style w:type="character" w:customStyle="1" w:styleId="fn">
    <w:name w:val="fn"/>
    <w:basedOn w:val="DefaultParagraphFont"/>
    <w:rsid w:val="00CD50A7"/>
  </w:style>
  <w:style w:type="character" w:customStyle="1" w:styleId="CaptionChar">
    <w:name w:val="Caption Char"/>
    <w:basedOn w:val="DefaultParagraphFont"/>
    <w:link w:val="Caption"/>
    <w:uiPriority w:val="35"/>
    <w:rsid w:val="00CD50A7"/>
    <w:rPr>
      <w:rFonts w:asciiTheme="majorHAnsi" w:hAnsiTheme="majorHAnsi"/>
      <w:b/>
      <w:bCs/>
      <w:szCs w:val="18"/>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660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oleObject" Target="file:////Users\milan\Desktop\R4D\Results%20v10.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3625266412545294E-2"/>
          <c:y val="7.2747008001853172E-2"/>
          <c:w val="0.9260259110053104"/>
          <c:h val="0.80771471485139501"/>
        </c:manualLayout>
      </c:layout>
      <c:lineChart>
        <c:grouping val="standard"/>
        <c:varyColors val="0"/>
        <c:ser>
          <c:idx val="0"/>
          <c:order val="0"/>
          <c:tx>
            <c:v>Actual (2018) and Estimated (2019)</c:v>
          </c:tx>
          <c:spPr>
            <a:ln w="50800" cap="rnd">
              <a:solidFill>
                <a:schemeClr val="tx1"/>
              </a:solidFill>
              <a:round/>
            </a:ln>
            <a:effectLst/>
          </c:spPr>
          <c:marker>
            <c:symbol val="none"/>
          </c:marker>
          <c:cat>
            <c:numRef>
              <c:f>Figure!$D$1:$N$1</c:f>
              <c:numCache>
                <c:formatCode>General</c:formatCode>
                <c:ptCount val="11"/>
                <c:pt idx="0">
                  <c:v>2018</c:v>
                </c:pt>
                <c:pt idx="1">
                  <c:v>2019</c:v>
                </c:pt>
                <c:pt idx="2">
                  <c:v>2020</c:v>
                </c:pt>
                <c:pt idx="3">
                  <c:v>2021</c:v>
                </c:pt>
                <c:pt idx="4">
                  <c:v>2022</c:v>
                </c:pt>
                <c:pt idx="5">
                  <c:v>2023</c:v>
                </c:pt>
                <c:pt idx="6">
                  <c:v>2024</c:v>
                </c:pt>
                <c:pt idx="7">
                  <c:v>2025</c:v>
                </c:pt>
                <c:pt idx="8">
                  <c:v>2026</c:v>
                </c:pt>
                <c:pt idx="9">
                  <c:v>2027</c:v>
                </c:pt>
                <c:pt idx="10">
                  <c:v>2028</c:v>
                </c:pt>
              </c:numCache>
            </c:numRef>
          </c:cat>
          <c:val>
            <c:numRef>
              <c:f>Figure!$D$16:$E$16</c:f>
              <c:numCache>
                <c:formatCode>#,##0</c:formatCode>
                <c:ptCount val="2"/>
                <c:pt idx="0">
                  <c:v>54499.023000000008</c:v>
                </c:pt>
                <c:pt idx="1">
                  <c:v>54558.971925300015</c:v>
                </c:pt>
              </c:numCache>
            </c:numRef>
          </c:val>
          <c:smooth val="0"/>
          <c:extLst>
            <c:ext xmlns:c16="http://schemas.microsoft.com/office/drawing/2014/chart" uri="{C3380CC4-5D6E-409C-BE32-E72D297353CC}">
              <c16:uniqueId val="{00000000-4B35-4F5C-A332-183BBB3D7844}"/>
            </c:ext>
          </c:extLst>
        </c:ser>
        <c:ser>
          <c:idx val="4"/>
          <c:order val="1"/>
          <c:tx>
            <c:v>Optimistic</c:v>
          </c:tx>
          <c:spPr>
            <a:ln w="28575" cap="rnd">
              <a:solidFill>
                <a:srgbClr val="00B050">
                  <a:alpha val="50000"/>
                </a:srgbClr>
              </a:solidFill>
              <a:round/>
            </a:ln>
            <a:effectLst/>
          </c:spPr>
          <c:marker>
            <c:symbol val="none"/>
          </c:marker>
          <c:cat>
            <c:numRef>
              <c:f>Figure!$D$1:$N$1</c:f>
              <c:numCache>
                <c:formatCode>General</c:formatCode>
                <c:ptCount val="11"/>
                <c:pt idx="0">
                  <c:v>2018</c:v>
                </c:pt>
                <c:pt idx="1">
                  <c:v>2019</c:v>
                </c:pt>
                <c:pt idx="2">
                  <c:v>2020</c:v>
                </c:pt>
                <c:pt idx="3">
                  <c:v>2021</c:v>
                </c:pt>
                <c:pt idx="4">
                  <c:v>2022</c:v>
                </c:pt>
                <c:pt idx="5">
                  <c:v>2023</c:v>
                </c:pt>
                <c:pt idx="6">
                  <c:v>2024</c:v>
                </c:pt>
                <c:pt idx="7">
                  <c:v>2025</c:v>
                </c:pt>
                <c:pt idx="8">
                  <c:v>2026</c:v>
                </c:pt>
                <c:pt idx="9">
                  <c:v>2027</c:v>
                </c:pt>
                <c:pt idx="10">
                  <c:v>2028</c:v>
                </c:pt>
              </c:numCache>
            </c:numRef>
          </c:cat>
          <c:val>
            <c:numRef>
              <c:f>Figure!$D$15:$N$15</c:f>
              <c:numCache>
                <c:formatCode>#,##0</c:formatCode>
                <c:ptCount val="11"/>
                <c:pt idx="0">
                  <c:v>54499.023000000008</c:v>
                </c:pt>
                <c:pt idx="1">
                  <c:v>54558.971925300015</c:v>
                </c:pt>
                <c:pt idx="2">
                  <c:v>54264.680830734949</c:v>
                </c:pt>
                <c:pt idx="3">
                  <c:v>54833.808803287699</c:v>
                </c:pt>
                <c:pt idx="4">
                  <c:v>50332.117601964186</c:v>
                </c:pt>
                <c:pt idx="5">
                  <c:v>51547.1852529932</c:v>
                </c:pt>
                <c:pt idx="6">
                  <c:v>52806.637630279576</c:v>
                </c:pt>
                <c:pt idx="7">
                  <c:v>54321.554450617041</c:v>
                </c:pt>
                <c:pt idx="8">
                  <c:v>55879.931204696346</c:v>
                </c:pt>
                <c:pt idx="9">
                  <c:v>57483.01467109668</c:v>
                </c:pt>
                <c:pt idx="10">
                  <c:v>58757.75800444292</c:v>
                </c:pt>
              </c:numCache>
            </c:numRef>
          </c:val>
          <c:smooth val="0"/>
          <c:extLst>
            <c:ext xmlns:c16="http://schemas.microsoft.com/office/drawing/2014/chart" uri="{C3380CC4-5D6E-409C-BE32-E72D297353CC}">
              <c16:uniqueId val="{00000001-4B35-4F5C-A332-183BBB3D7844}"/>
            </c:ext>
          </c:extLst>
        </c:ser>
        <c:ser>
          <c:idx val="5"/>
          <c:order val="2"/>
          <c:tx>
            <c:v>Moderate</c:v>
          </c:tx>
          <c:spPr>
            <a:ln w="28575" cap="rnd">
              <a:solidFill>
                <a:srgbClr val="FFFF00">
                  <a:alpha val="50000"/>
                </a:srgbClr>
              </a:solidFill>
              <a:round/>
            </a:ln>
            <a:effectLst/>
          </c:spPr>
          <c:marker>
            <c:symbol val="none"/>
          </c:marker>
          <c:cat>
            <c:numRef>
              <c:f>Figure!$D$1:$N$1</c:f>
              <c:numCache>
                <c:formatCode>General</c:formatCode>
                <c:ptCount val="11"/>
                <c:pt idx="0">
                  <c:v>2018</c:v>
                </c:pt>
                <c:pt idx="1">
                  <c:v>2019</c:v>
                </c:pt>
                <c:pt idx="2">
                  <c:v>2020</c:v>
                </c:pt>
                <c:pt idx="3">
                  <c:v>2021</c:v>
                </c:pt>
                <c:pt idx="4">
                  <c:v>2022</c:v>
                </c:pt>
                <c:pt idx="5">
                  <c:v>2023</c:v>
                </c:pt>
                <c:pt idx="6">
                  <c:v>2024</c:v>
                </c:pt>
                <c:pt idx="7">
                  <c:v>2025</c:v>
                </c:pt>
                <c:pt idx="8">
                  <c:v>2026</c:v>
                </c:pt>
                <c:pt idx="9">
                  <c:v>2027</c:v>
                </c:pt>
                <c:pt idx="10">
                  <c:v>2028</c:v>
                </c:pt>
              </c:numCache>
            </c:numRef>
          </c:cat>
          <c:val>
            <c:numRef>
              <c:f>Figure!$D$14:$N$14</c:f>
              <c:numCache>
                <c:formatCode>#,##0</c:formatCode>
                <c:ptCount val="11"/>
                <c:pt idx="0">
                  <c:v>54499.023000000008</c:v>
                </c:pt>
                <c:pt idx="1">
                  <c:v>54558.971925300015</c:v>
                </c:pt>
                <c:pt idx="2">
                  <c:v>54264.680830734949</c:v>
                </c:pt>
                <c:pt idx="3">
                  <c:v>53854.005726207943</c:v>
                </c:pt>
                <c:pt idx="4">
                  <c:v>49085.87976722094</c:v>
                </c:pt>
                <c:pt idx="5">
                  <c:v>47500.504022499241</c:v>
                </c:pt>
                <c:pt idx="6">
                  <c:v>48502.669656365935</c:v>
                </c:pt>
                <c:pt idx="7">
                  <c:v>49894.11424346776</c:v>
                </c:pt>
                <c:pt idx="8">
                  <c:v>51325.476592884363</c:v>
                </c:pt>
                <c:pt idx="9">
                  <c:v>52797.901865381034</c:v>
                </c:pt>
                <c:pt idx="10">
                  <c:v>53968.748137147726</c:v>
                </c:pt>
              </c:numCache>
            </c:numRef>
          </c:val>
          <c:smooth val="0"/>
          <c:extLst>
            <c:ext xmlns:c16="http://schemas.microsoft.com/office/drawing/2014/chart" uri="{C3380CC4-5D6E-409C-BE32-E72D297353CC}">
              <c16:uniqueId val="{00000002-4B35-4F5C-A332-183BBB3D7844}"/>
            </c:ext>
          </c:extLst>
        </c:ser>
        <c:ser>
          <c:idx val="6"/>
          <c:order val="3"/>
          <c:tx>
            <c:v>Pessimistic</c:v>
          </c:tx>
          <c:spPr>
            <a:ln w="28575" cap="rnd">
              <a:solidFill>
                <a:srgbClr val="FF0000">
                  <a:alpha val="50000"/>
                </a:srgbClr>
              </a:solidFill>
              <a:round/>
            </a:ln>
            <a:effectLst/>
          </c:spPr>
          <c:marker>
            <c:symbol val="none"/>
          </c:marker>
          <c:cat>
            <c:numRef>
              <c:f>Figure!$D$1:$N$1</c:f>
              <c:numCache>
                <c:formatCode>General</c:formatCode>
                <c:ptCount val="11"/>
                <c:pt idx="0">
                  <c:v>2018</c:v>
                </c:pt>
                <c:pt idx="1">
                  <c:v>2019</c:v>
                </c:pt>
                <c:pt idx="2">
                  <c:v>2020</c:v>
                </c:pt>
                <c:pt idx="3">
                  <c:v>2021</c:v>
                </c:pt>
                <c:pt idx="4">
                  <c:v>2022</c:v>
                </c:pt>
                <c:pt idx="5">
                  <c:v>2023</c:v>
                </c:pt>
                <c:pt idx="6">
                  <c:v>2024</c:v>
                </c:pt>
                <c:pt idx="7">
                  <c:v>2025</c:v>
                </c:pt>
                <c:pt idx="8">
                  <c:v>2026</c:v>
                </c:pt>
                <c:pt idx="9">
                  <c:v>2027</c:v>
                </c:pt>
                <c:pt idx="10">
                  <c:v>2028</c:v>
                </c:pt>
              </c:numCache>
            </c:numRef>
          </c:cat>
          <c:val>
            <c:numRef>
              <c:f>Figure!$D$13:$N$13</c:f>
              <c:numCache>
                <c:formatCode>#,##0</c:formatCode>
                <c:ptCount val="11"/>
                <c:pt idx="0">
                  <c:v>54499.023000000008</c:v>
                </c:pt>
                <c:pt idx="1">
                  <c:v>54558.971925300015</c:v>
                </c:pt>
                <c:pt idx="2">
                  <c:v>54264.680830734949</c:v>
                </c:pt>
                <c:pt idx="3">
                  <c:v>53460.478260823453</c:v>
                </c:pt>
                <c:pt idx="4">
                  <c:v>47996.763922089034</c:v>
                </c:pt>
                <c:pt idx="5">
                  <c:v>45200.520452752055</c:v>
                </c:pt>
                <c:pt idx="6">
                  <c:v>44537.564419271541</c:v>
                </c:pt>
                <c:pt idx="7">
                  <c:v>45815.258067331604</c:v>
                </c:pt>
                <c:pt idx="8">
                  <c:v>47129.606190767212</c:v>
                </c:pt>
                <c:pt idx="9">
                  <c:v>48481.660333167943</c:v>
                </c:pt>
                <c:pt idx="10">
                  <c:v>49556.789632716274</c:v>
                </c:pt>
              </c:numCache>
            </c:numRef>
          </c:val>
          <c:smooth val="0"/>
          <c:extLst>
            <c:ext xmlns:c16="http://schemas.microsoft.com/office/drawing/2014/chart" uri="{C3380CC4-5D6E-409C-BE32-E72D297353CC}">
              <c16:uniqueId val="{00000003-4B35-4F5C-A332-183BBB3D7844}"/>
            </c:ext>
          </c:extLst>
        </c:ser>
        <c:dLbls>
          <c:showLegendKey val="0"/>
          <c:showVal val="0"/>
          <c:showCatName val="0"/>
          <c:showSerName val="0"/>
          <c:showPercent val="0"/>
          <c:showBubbleSize val="0"/>
        </c:dLbls>
        <c:smooth val="0"/>
        <c:axId val="804088992"/>
        <c:axId val="833479424"/>
      </c:lineChart>
      <c:catAx>
        <c:axId val="8040889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NL"/>
          </a:p>
        </c:txPr>
        <c:crossAx val="833479424"/>
        <c:crosses val="autoZero"/>
        <c:auto val="0"/>
        <c:lblAlgn val="ctr"/>
        <c:lblOffset val="100"/>
        <c:noMultiLvlLbl val="0"/>
      </c:catAx>
      <c:valAx>
        <c:axId val="833479424"/>
        <c:scaling>
          <c:orientation val="minMax"/>
          <c:min val="40000"/>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NL"/>
          </a:p>
        </c:txPr>
        <c:crossAx val="804088992"/>
        <c:crosses val="autoZero"/>
        <c:crossBetween val="between"/>
      </c:valAx>
      <c:spPr>
        <a:noFill/>
        <a:ln>
          <a:noFill/>
        </a:ln>
        <a:effectLst/>
      </c:spPr>
    </c:plotArea>
    <c:legend>
      <c:legendPos val="b"/>
      <c:layout>
        <c:manualLayout>
          <c:xMode val="edge"/>
          <c:yMode val="edge"/>
          <c:x val="7.1982392137670978E-2"/>
          <c:y val="0.78470544171909185"/>
          <c:w val="0.92801760786232901"/>
          <c:h val="0.11938224082981894"/>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N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000">
          <a:latin typeface="Times New Roman" panose="02020603050405020304" pitchFamily="18" charset="0"/>
          <a:cs typeface="Times New Roman" panose="02020603050405020304" pitchFamily="18" charset="0"/>
        </a:defRPr>
      </a:pPr>
      <a:endParaRPr lang="en-NL"/>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BDE9487BE6DB14FAED2B483213A4E4A" ma:contentTypeVersion="13" ma:contentTypeDescription="Create a new document." ma:contentTypeScope="" ma:versionID="2d61398a7a83053fb1220ad6a7fb8f65">
  <xsd:schema xmlns:xsd="http://www.w3.org/2001/XMLSchema" xmlns:xs="http://www.w3.org/2001/XMLSchema" xmlns:p="http://schemas.microsoft.com/office/2006/metadata/properties" xmlns:ns3="102d78c2-67e1-4791-b5cc-24e038baa223" xmlns:ns4="b72e0254-bf40-46dd-984c-31cd8537db57" targetNamespace="http://schemas.microsoft.com/office/2006/metadata/properties" ma:root="true" ma:fieldsID="18d304447bdf3a9c823b8e355747180f" ns3:_="" ns4:_="">
    <xsd:import namespace="102d78c2-67e1-4791-b5cc-24e038baa223"/>
    <xsd:import namespace="b72e0254-bf40-46dd-984c-31cd8537db57"/>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2d78c2-67e1-4791-b5cc-24e038baa22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72e0254-bf40-46dd-984c-31cd8537db5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D57DF2C-0CB2-4182-AB8D-8B68EBCE0612}">
  <ds:schemaRefs>
    <ds:schemaRef ds:uri="http://schemas.openxmlformats.org/officeDocument/2006/bibliography"/>
  </ds:schemaRefs>
</ds:datastoreItem>
</file>

<file path=customXml/itemProps2.xml><?xml version="1.0" encoding="utf-8"?>
<ds:datastoreItem xmlns:ds="http://schemas.openxmlformats.org/officeDocument/2006/customXml" ds:itemID="{9861F8AB-B12F-4089-AB77-C35D841DC6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2d78c2-67e1-4791-b5cc-24e038baa223"/>
    <ds:schemaRef ds:uri="b72e0254-bf40-46dd-984c-31cd8537db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84EC9CF-372B-448B-9918-6A18D73297A6}">
  <ds:schemaRefs>
    <ds:schemaRef ds:uri="http://schemas.microsoft.com/sharepoint/v3/contenttype/forms"/>
  </ds:schemaRefs>
</ds:datastoreItem>
</file>

<file path=customXml/itemProps4.xml><?xml version="1.0" encoding="utf-8"?>
<ds:datastoreItem xmlns:ds="http://schemas.openxmlformats.org/officeDocument/2006/customXml" ds:itemID="{BE940B2E-BAAA-4152-9690-06CE31B3E22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17912</Words>
  <Characters>102105</Characters>
  <Application>Microsoft Office Word</Application>
  <DocSecurity>0</DocSecurity>
  <Lines>850</Lines>
  <Paragraphs>239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Catrin Kissick</dc:creator>
  <cp:keywords/>
  <dc:description/>
  <cp:lastModifiedBy>Osendarp, Saskia (MicroNutrient)</cp:lastModifiedBy>
  <cp:revision>2</cp:revision>
  <dcterms:created xsi:type="dcterms:W3CDTF">2020-12-06T18:46:00Z</dcterms:created>
  <dcterms:modified xsi:type="dcterms:W3CDTF">2020-12-06T18:46:00Z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http://www.zotero.org/styles/the-new-england-journal-of-medicine</vt:lpwstr>
  </property>
  <property fmtid="{D5CDD505-2E9C-101B-9397-08002B2CF9AE}" pid="17" name="Mendeley Recent Style Name 7_1">
    <vt:lpwstr>The New England Journal of Medicine</vt:lpwstr>
  </property>
  <property fmtid="{D5CDD505-2E9C-101B-9397-08002B2CF9AE}" pid="18" name="Mendeley Recent Style Id 8_1">
    <vt:lpwstr>http://www.zotero.org/styles/vancouver</vt:lpwstr>
  </property>
  <property fmtid="{D5CDD505-2E9C-101B-9397-08002B2CF9AE}" pid="19" name="Mendeley Recent Style Name 8_1">
    <vt:lpwstr>Vancouver</vt:lpwstr>
  </property>
  <property fmtid="{D5CDD505-2E9C-101B-9397-08002B2CF9AE}" pid="20" name="Mendeley Recent Style Id 9_1">
    <vt:lpwstr>http://www.zotero.org/styles/vancouver-superscript</vt:lpwstr>
  </property>
  <property fmtid="{D5CDD505-2E9C-101B-9397-08002B2CF9AE}" pid="21" name="Mendeley Recent Style Name 9_1">
    <vt:lpwstr>Vancouver (superscript)</vt:lpwstr>
  </property>
  <property fmtid="{D5CDD505-2E9C-101B-9397-08002B2CF9AE}" pid="22" name="Mendeley Document_1">
    <vt:lpwstr>True</vt:lpwstr>
  </property>
  <property fmtid="{D5CDD505-2E9C-101B-9397-08002B2CF9AE}" pid="23" name="Mendeley Unique User Id_1">
    <vt:lpwstr>4dad19d5-d807-32c9-86a3-8397e470ea92</vt:lpwstr>
  </property>
  <property fmtid="{D5CDD505-2E9C-101B-9397-08002B2CF9AE}" pid="24" name="Mendeley Citation Style_1">
    <vt:lpwstr>http://www.zotero.org/styles/vancouver-superscript</vt:lpwstr>
  </property>
  <property fmtid="{D5CDD505-2E9C-101B-9397-08002B2CF9AE}" pid="25" name="ContentTypeId">
    <vt:lpwstr>0x010100ABDE9487BE6DB14FAED2B483213A4E4A</vt:lpwstr>
  </property>
</Properties>
</file>