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5EC45" w14:textId="77777777" w:rsidR="00DF6623" w:rsidRDefault="00DF6623" w:rsidP="00DF6623">
      <w:r>
        <w:t xml:space="preserve">Supplement Table 1. </w:t>
      </w:r>
    </w:p>
    <w:tbl>
      <w:tblPr>
        <w:tblW w:w="6908" w:type="dxa"/>
        <w:tblLook w:val="04A0" w:firstRow="1" w:lastRow="0" w:firstColumn="1" w:lastColumn="0" w:noHBand="0" w:noVBand="1"/>
      </w:tblPr>
      <w:tblGrid>
        <w:gridCol w:w="1598"/>
        <w:gridCol w:w="1443"/>
        <w:gridCol w:w="1109"/>
        <w:gridCol w:w="1240"/>
        <w:gridCol w:w="1518"/>
      </w:tblGrid>
      <w:tr w:rsidR="00DF6623" w:rsidRPr="00525B0F" w14:paraId="2C390980" w14:textId="77777777" w:rsidTr="009775D8">
        <w:trPr>
          <w:trHeight w:val="340"/>
        </w:trPr>
        <w:tc>
          <w:tcPr>
            <w:tcW w:w="207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5A75D9B9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7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62E730F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Pretreatment (min)</w:t>
            </w:r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0F305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 xml:space="preserve">Number 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77E84D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BP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79197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RO</w:t>
            </w:r>
          </w:p>
        </w:tc>
      </w:tr>
      <w:tr w:rsidR="00DF6623" w:rsidRPr="00525B0F" w14:paraId="23780A62" w14:textId="77777777" w:rsidTr="009775D8">
        <w:trPr>
          <w:trHeight w:val="360"/>
        </w:trPr>
        <w:tc>
          <w:tcPr>
            <w:tcW w:w="207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2E3D75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F86FB2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E1D05D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of rats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034B50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TH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6D197F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TH</w:t>
            </w:r>
          </w:p>
        </w:tc>
      </w:tr>
      <w:tr w:rsidR="00DF6623" w:rsidRPr="00525B0F" w14:paraId="28289E5F" w14:textId="77777777" w:rsidTr="009775D8">
        <w:trPr>
          <w:trHeight w:val="680"/>
        </w:trPr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332525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Baseline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24EA95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4856C8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360BD9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1.44±0.32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7171D3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 </w:t>
            </w:r>
          </w:p>
        </w:tc>
      </w:tr>
      <w:tr w:rsidR="00DF6623" w:rsidRPr="00525B0F" w14:paraId="2E03E7BD" w14:textId="77777777" w:rsidTr="009775D8">
        <w:trPr>
          <w:trHeight w:val="680"/>
        </w:trPr>
        <w:tc>
          <w:tcPr>
            <w:tcW w:w="20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505996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0.035 mg/kg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99660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AB445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29B47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0.45±0.22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BAEF5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65.36±16.48</w:t>
            </w:r>
          </w:p>
        </w:tc>
      </w:tr>
      <w:tr w:rsidR="00DF6623" w:rsidRPr="00525B0F" w14:paraId="39A166DA" w14:textId="77777777" w:rsidTr="009775D8">
        <w:trPr>
          <w:trHeight w:val="680"/>
        </w:trPr>
        <w:tc>
          <w:tcPr>
            <w:tcW w:w="20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DE0584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67A35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B3A9E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48083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0.78±0.25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2F582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40.24±18.93</w:t>
            </w:r>
          </w:p>
        </w:tc>
      </w:tr>
      <w:tr w:rsidR="00DF6623" w:rsidRPr="00525B0F" w14:paraId="267E45D1" w14:textId="77777777" w:rsidTr="009775D8">
        <w:trPr>
          <w:trHeight w:val="680"/>
        </w:trPr>
        <w:tc>
          <w:tcPr>
            <w:tcW w:w="20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F37EF3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A349A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60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0C965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AEC2D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0.60±0.08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354F0" w14:textId="77777777" w:rsidR="00DF6623" w:rsidRPr="00525B0F" w:rsidRDefault="00DF6623" w:rsidP="009775D8">
            <w:pPr>
              <w:ind w:right="120"/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53.98±5.95</w:t>
            </w:r>
          </w:p>
        </w:tc>
      </w:tr>
      <w:tr w:rsidR="00DF6623" w:rsidRPr="00525B0F" w14:paraId="28B41077" w14:textId="77777777" w:rsidTr="009775D8">
        <w:trPr>
          <w:trHeight w:val="680"/>
        </w:trPr>
        <w:tc>
          <w:tcPr>
            <w:tcW w:w="20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493978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E8290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3C394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2C294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0.94±0.16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FA259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27.76±12.20</w:t>
            </w:r>
          </w:p>
        </w:tc>
      </w:tr>
      <w:tr w:rsidR="00DF6623" w:rsidRPr="00525B0F" w14:paraId="71BD167F" w14:textId="77777777" w:rsidTr="009775D8">
        <w:trPr>
          <w:trHeight w:val="680"/>
        </w:trPr>
        <w:tc>
          <w:tcPr>
            <w:tcW w:w="20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880DF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4A41B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180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88962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FB4BD1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1.11±0.02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987B40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15.11±1.14</w:t>
            </w:r>
          </w:p>
        </w:tc>
      </w:tr>
      <w:tr w:rsidR="00DF6623" w:rsidRPr="00525B0F" w14:paraId="777EC5A9" w14:textId="77777777" w:rsidTr="009775D8">
        <w:trPr>
          <w:trHeight w:val="680"/>
        </w:trPr>
        <w:tc>
          <w:tcPr>
            <w:tcW w:w="207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E14F494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0.17 mg/kg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7C815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379EA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8C6E5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0.06±0.24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32491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95.74±18.93</w:t>
            </w:r>
          </w:p>
        </w:tc>
      </w:tr>
      <w:tr w:rsidR="00DF6623" w:rsidRPr="00525B0F" w14:paraId="09D99098" w14:textId="77777777" w:rsidTr="009775D8">
        <w:trPr>
          <w:trHeight w:val="680"/>
        </w:trPr>
        <w:tc>
          <w:tcPr>
            <w:tcW w:w="20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71CF51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B3810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60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264ED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6AAE4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0.35±0.15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6E205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73.03±11.23</w:t>
            </w:r>
          </w:p>
        </w:tc>
      </w:tr>
      <w:tr w:rsidR="00DF6623" w:rsidRPr="00525B0F" w14:paraId="3BB31B92" w14:textId="77777777" w:rsidTr="009775D8">
        <w:trPr>
          <w:trHeight w:val="680"/>
        </w:trPr>
        <w:tc>
          <w:tcPr>
            <w:tcW w:w="20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8CC239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40EF4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90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E5F11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1BA09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0.47±0.21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AC137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63.70±16.33</w:t>
            </w:r>
          </w:p>
        </w:tc>
      </w:tr>
      <w:tr w:rsidR="00DF6623" w:rsidRPr="00525B0F" w14:paraId="5E06DCC6" w14:textId="77777777" w:rsidTr="009775D8">
        <w:trPr>
          <w:trHeight w:val="680"/>
        </w:trPr>
        <w:tc>
          <w:tcPr>
            <w:tcW w:w="20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35798B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4AA9A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110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1BF5F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768CA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 xml:space="preserve">1.05±0.18 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BFFF3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25.71±17.1</w:t>
            </w:r>
          </w:p>
        </w:tc>
      </w:tr>
      <w:tr w:rsidR="00DF6623" w:rsidRPr="00525B0F" w14:paraId="17AE64DD" w14:textId="77777777" w:rsidTr="009775D8">
        <w:trPr>
          <w:trHeight w:val="700"/>
        </w:trPr>
        <w:tc>
          <w:tcPr>
            <w:tcW w:w="20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508D6B" w14:textId="77777777" w:rsidR="00DF6623" w:rsidRPr="00525B0F" w:rsidRDefault="00DF6623" w:rsidP="009775D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4E1484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210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75F335" w14:textId="77777777" w:rsidR="00DF6623" w:rsidRPr="00525B0F" w:rsidRDefault="00DF6623" w:rsidP="009775D8">
            <w:pPr>
              <w:jc w:val="center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FFF744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1.11±0.05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BDE2B1" w14:textId="77777777" w:rsidR="00DF6623" w:rsidRPr="00525B0F" w:rsidRDefault="00DF6623" w:rsidP="009775D8">
            <w:pPr>
              <w:jc w:val="right"/>
              <w:rPr>
                <w:rFonts w:eastAsia="Times New Roman"/>
                <w:color w:val="000000"/>
              </w:rPr>
            </w:pPr>
            <w:r w:rsidRPr="00525B0F">
              <w:rPr>
                <w:rFonts w:eastAsia="Times New Roman"/>
                <w:color w:val="000000"/>
              </w:rPr>
              <w:t>14.82±3.84</w:t>
            </w:r>
          </w:p>
        </w:tc>
      </w:tr>
    </w:tbl>
    <w:p w14:paraId="18602D7B" w14:textId="77777777" w:rsidR="00DF6623" w:rsidRPr="00525B0F" w:rsidRDefault="00DF6623" w:rsidP="00DF6623"/>
    <w:p w14:paraId="3CBD8E31" w14:textId="77777777" w:rsidR="00DF6623" w:rsidRPr="00D0783B" w:rsidRDefault="00DF6623" w:rsidP="00DF6623">
      <w:pPr>
        <w:spacing w:line="259" w:lineRule="auto"/>
        <w:rPr>
          <w:sz w:val="22"/>
        </w:rPr>
      </w:pPr>
      <w:r w:rsidRPr="00D0783B">
        <w:rPr>
          <w:sz w:val="22"/>
        </w:rPr>
        <w:t>Supplementary Table 1. Pharmacokinetic parameters for NLX doses of 0.035 and 0.17 mg/kg assessed at different pretreatment times.  BP=Binding Potential, RO=Receptor Occupancy, TH=thalamus, CB=cerebellum (reference regions).</w:t>
      </w:r>
    </w:p>
    <w:p w14:paraId="4F04C4B8" w14:textId="77777777" w:rsidR="00DF6623" w:rsidRPr="00525B0F" w:rsidRDefault="00DF6623" w:rsidP="00DF6623">
      <w:pPr>
        <w:spacing w:line="259" w:lineRule="auto"/>
      </w:pPr>
    </w:p>
    <w:p w14:paraId="61D6B92D" w14:textId="221B427B" w:rsidR="00DF6623" w:rsidRDefault="00DF6623">
      <w:pPr>
        <w:spacing w:before="0" w:after="0" w:line="240" w:lineRule="auto"/>
        <w:jc w:val="left"/>
      </w:pPr>
    </w:p>
    <w:p w14:paraId="0AD22C59" w14:textId="77777777" w:rsidR="00DF6623" w:rsidRDefault="00DF6623">
      <w:pPr>
        <w:spacing w:before="0" w:after="0" w:line="240" w:lineRule="auto"/>
        <w:jc w:val="left"/>
      </w:pPr>
      <w:r>
        <w:br w:type="page"/>
      </w:r>
    </w:p>
    <w:p w14:paraId="25A0BA64" w14:textId="77777777" w:rsidR="00DF6623" w:rsidRDefault="00DF6623">
      <w:pPr>
        <w:spacing w:before="0" w:after="0" w:line="240" w:lineRule="auto"/>
        <w:jc w:val="left"/>
      </w:pPr>
    </w:p>
    <w:p w14:paraId="28E13DC3" w14:textId="5E258E73" w:rsidR="002C223D" w:rsidRDefault="002C223D" w:rsidP="002C223D">
      <w:r>
        <w:t>Supplement figure 1.</w:t>
      </w:r>
    </w:p>
    <w:p w14:paraId="640B25B9" w14:textId="77777777" w:rsidR="002C223D" w:rsidRDefault="002C223D" w:rsidP="002C223D"/>
    <w:p w14:paraId="1AB319C7" w14:textId="77777777" w:rsidR="002C223D" w:rsidRDefault="002C223D" w:rsidP="002C223D">
      <w:r>
        <w:rPr>
          <w:noProof/>
        </w:rPr>
        <w:drawing>
          <wp:inline distT="0" distB="0" distL="0" distR="0" wp14:anchorId="1FF94776" wp14:editId="39372D0B">
            <wp:extent cx="5943600" cy="1539012"/>
            <wp:effectExtent l="0" t="0" r="0" b="0"/>
            <wp:docPr id="10" name="image2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 descr="Char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90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F0AC86" w14:textId="77777777" w:rsidR="002C223D" w:rsidRDefault="002C223D" w:rsidP="002C223D"/>
    <w:p w14:paraId="7DD8997F" w14:textId="77777777" w:rsidR="00140C93" w:rsidRDefault="00140C93" w:rsidP="00140C93">
      <w:pPr>
        <w:jc w:val="left"/>
        <w:rPr>
          <w:szCs w:val="24"/>
        </w:rPr>
      </w:pPr>
      <w:r w:rsidRPr="000E41C9">
        <w:rPr>
          <w:szCs w:val="24"/>
        </w:rPr>
        <w:t xml:space="preserve">Suppl Figure </w:t>
      </w:r>
      <w:r>
        <w:rPr>
          <w:szCs w:val="24"/>
        </w:rPr>
        <w:t>1</w:t>
      </w:r>
      <w:r w:rsidRPr="000E41C9">
        <w:rPr>
          <w:szCs w:val="24"/>
        </w:rPr>
        <w:t xml:space="preserve">. Averaged time-activity curves </w:t>
      </w:r>
      <w:proofErr w:type="gramStart"/>
      <w:r w:rsidRPr="000E41C9">
        <w:rPr>
          <w:szCs w:val="24"/>
        </w:rPr>
        <w:t>of  [</w:t>
      </w:r>
      <w:proofErr w:type="gramEnd"/>
      <w:r w:rsidRPr="000E41C9">
        <w:rPr>
          <w:szCs w:val="24"/>
          <w:vertAlign w:val="superscript"/>
        </w:rPr>
        <w:t>11</w:t>
      </w:r>
      <w:r w:rsidRPr="000E41C9">
        <w:rPr>
          <w:szCs w:val="24"/>
        </w:rPr>
        <w:t>C]CFN for the baselines (A, n=3), NLX post-treatment scans (B, n=3; IV, 0.035 mg/kg), and NLX post-treatment scans (C, n=3; IV, 0.17 mg/kg). NLX was administered at 15 min after [</w:t>
      </w:r>
      <w:r w:rsidRPr="000E41C9">
        <w:rPr>
          <w:szCs w:val="24"/>
          <w:vertAlign w:val="superscript"/>
        </w:rPr>
        <w:t>11</w:t>
      </w:r>
      <w:proofErr w:type="gramStart"/>
      <w:r w:rsidRPr="000E41C9">
        <w:rPr>
          <w:szCs w:val="24"/>
        </w:rPr>
        <w:t>C]CFN</w:t>
      </w:r>
      <w:proofErr w:type="gramEnd"/>
      <w:r w:rsidRPr="000E41C9">
        <w:rPr>
          <w:szCs w:val="24"/>
        </w:rPr>
        <w:t xml:space="preserve"> injection. [</w:t>
      </w:r>
      <w:r w:rsidRPr="000E41C9">
        <w:rPr>
          <w:szCs w:val="24"/>
          <w:vertAlign w:val="superscript"/>
        </w:rPr>
        <w:t>11</w:t>
      </w:r>
      <w:proofErr w:type="gramStart"/>
      <w:r w:rsidRPr="000E41C9">
        <w:rPr>
          <w:szCs w:val="24"/>
        </w:rPr>
        <w:t>C]CFN</w:t>
      </w:r>
      <w:proofErr w:type="gramEnd"/>
      <w:r w:rsidRPr="000E41C9">
        <w:rPr>
          <w:szCs w:val="24"/>
        </w:rPr>
        <w:t xml:space="preserve"> uptake is expressed as standard uptake values (SUV) in the thalamus, (TH), which was the target region for its high specific binding and in the cerebellum (CB), which served as a reference region devoid of specific binding</w:t>
      </w:r>
      <w:r>
        <w:rPr>
          <w:szCs w:val="24"/>
        </w:rPr>
        <w:t>.</w:t>
      </w:r>
    </w:p>
    <w:p w14:paraId="23178A97" w14:textId="77777777" w:rsidR="002C223D" w:rsidRDefault="002C223D" w:rsidP="002C223D"/>
    <w:p w14:paraId="592C8AA3" w14:textId="77777777" w:rsidR="002C223D" w:rsidRDefault="002C223D" w:rsidP="002C223D"/>
    <w:p w14:paraId="1CCF6982" w14:textId="77777777" w:rsidR="002C223D" w:rsidRDefault="002C223D" w:rsidP="002C223D"/>
    <w:p w14:paraId="5C0F4EFB" w14:textId="77777777" w:rsidR="002C223D" w:rsidRDefault="002C223D" w:rsidP="002C223D">
      <w:r>
        <w:br w:type="page"/>
      </w:r>
    </w:p>
    <w:p w14:paraId="5255DA36" w14:textId="77777777" w:rsidR="002C223D" w:rsidRDefault="002C223D" w:rsidP="002C223D">
      <w:r>
        <w:lastRenderedPageBreak/>
        <w:t>Supplement Figure 2.</w:t>
      </w:r>
    </w:p>
    <w:p w14:paraId="42A11A17" w14:textId="77777777" w:rsidR="002C223D" w:rsidRDefault="002C223D" w:rsidP="002C223D"/>
    <w:p w14:paraId="3972C158" w14:textId="77777777" w:rsidR="002C223D" w:rsidRDefault="002C223D" w:rsidP="002C223D">
      <w:r>
        <w:rPr>
          <w:noProof/>
        </w:rPr>
        <w:drawing>
          <wp:inline distT="0" distB="0" distL="0" distR="0" wp14:anchorId="14C7DB29" wp14:editId="522F7767">
            <wp:extent cx="5943600" cy="2392961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01069" w14:textId="77777777" w:rsidR="002C223D" w:rsidRDefault="002C223D" w:rsidP="002C223D"/>
    <w:p w14:paraId="16CC5A87" w14:textId="77777777" w:rsidR="00140C93" w:rsidRDefault="00140C93" w:rsidP="00140C93">
      <w:pPr>
        <w:spacing w:before="0"/>
        <w:jc w:val="left"/>
        <w:rPr>
          <w:szCs w:val="24"/>
        </w:rPr>
      </w:pPr>
      <w:r>
        <w:rPr>
          <w:szCs w:val="24"/>
        </w:rPr>
        <w:t xml:space="preserve">Suppl Figure 2. </w:t>
      </w:r>
      <w:r w:rsidRPr="000E41C9">
        <w:rPr>
          <w:szCs w:val="24"/>
        </w:rPr>
        <w:t>PET brain images of [</w:t>
      </w:r>
      <w:r w:rsidRPr="000E41C9">
        <w:rPr>
          <w:szCs w:val="24"/>
          <w:vertAlign w:val="superscript"/>
        </w:rPr>
        <w:t>11</w:t>
      </w:r>
      <w:proofErr w:type="gramStart"/>
      <w:r w:rsidRPr="000E41C9">
        <w:rPr>
          <w:szCs w:val="24"/>
        </w:rPr>
        <w:t>C]CFN</w:t>
      </w:r>
      <w:proofErr w:type="gramEnd"/>
      <w:r w:rsidRPr="000E41C9">
        <w:rPr>
          <w:szCs w:val="24"/>
        </w:rPr>
        <w:t xml:space="preserve"> for baseline and the NLX </w:t>
      </w:r>
      <w:r>
        <w:rPr>
          <w:szCs w:val="24"/>
        </w:rPr>
        <w:t>pre</w:t>
      </w:r>
      <w:r w:rsidRPr="000E41C9">
        <w:rPr>
          <w:szCs w:val="24"/>
        </w:rPr>
        <w:t xml:space="preserve">treatments (0.035 mg/kg and 0.17 mg/kg NLX).  NLX was given 5 min </w:t>
      </w:r>
      <w:r>
        <w:rPr>
          <w:szCs w:val="24"/>
        </w:rPr>
        <w:t xml:space="preserve">prior </w:t>
      </w:r>
      <w:r w:rsidRPr="000E41C9">
        <w:rPr>
          <w:szCs w:val="24"/>
        </w:rPr>
        <w:t>[</w:t>
      </w:r>
      <w:r w:rsidRPr="000E41C9">
        <w:rPr>
          <w:szCs w:val="24"/>
          <w:vertAlign w:val="superscript"/>
        </w:rPr>
        <w:t>11</w:t>
      </w:r>
      <w:proofErr w:type="gramStart"/>
      <w:r w:rsidRPr="000E41C9">
        <w:rPr>
          <w:szCs w:val="24"/>
        </w:rPr>
        <w:t>C]CFN</w:t>
      </w:r>
      <w:proofErr w:type="gramEnd"/>
      <w:r w:rsidRPr="000E41C9">
        <w:rPr>
          <w:szCs w:val="24"/>
        </w:rPr>
        <w:t xml:space="preserve"> administration to assess </w:t>
      </w:r>
      <w:r>
        <w:rPr>
          <w:szCs w:val="24"/>
        </w:rPr>
        <w:t>blocking MORs</w:t>
      </w:r>
      <w:r w:rsidRPr="000E41C9">
        <w:rPr>
          <w:szCs w:val="24"/>
        </w:rPr>
        <w:t xml:space="preserve">. </w:t>
      </w:r>
    </w:p>
    <w:p w14:paraId="20322B8B" w14:textId="77777777" w:rsidR="002C223D" w:rsidRDefault="002C223D" w:rsidP="002C223D"/>
    <w:p w14:paraId="3FBD2B18" w14:textId="77777777" w:rsidR="002C223D" w:rsidRDefault="002C223D" w:rsidP="002C223D">
      <w:r>
        <w:br w:type="page"/>
      </w:r>
    </w:p>
    <w:p w14:paraId="572B2005" w14:textId="77777777" w:rsidR="002C223D" w:rsidRDefault="002C223D" w:rsidP="002C223D">
      <w:r>
        <w:lastRenderedPageBreak/>
        <w:t xml:space="preserve">Supplement Figure 3. </w:t>
      </w:r>
    </w:p>
    <w:p w14:paraId="2C7833AA" w14:textId="77777777" w:rsidR="002C223D" w:rsidRDefault="002C223D" w:rsidP="002C223D"/>
    <w:p w14:paraId="1A62BE0D" w14:textId="77777777" w:rsidR="002C223D" w:rsidRPr="009974BA" w:rsidRDefault="002C223D" w:rsidP="002C223D">
      <w:r>
        <w:rPr>
          <w:noProof/>
        </w:rPr>
        <w:drawing>
          <wp:inline distT="0" distB="0" distL="0" distR="0" wp14:anchorId="02049D83" wp14:editId="061B5E12">
            <wp:extent cx="5943600" cy="2839720"/>
            <wp:effectExtent l="0" t="0" r="0" b="5080"/>
            <wp:docPr id="13" name="image5.png" descr="Chart, scatt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 descr="Chart, scatter chart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9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21C287" w14:textId="77777777" w:rsidR="002C223D" w:rsidRDefault="002C223D" w:rsidP="002C223D"/>
    <w:p w14:paraId="006A6DDE" w14:textId="77777777" w:rsidR="00140C93" w:rsidRDefault="00140C93" w:rsidP="00140C93">
      <w:pPr>
        <w:spacing w:before="0"/>
        <w:jc w:val="left"/>
        <w:rPr>
          <w:szCs w:val="24"/>
        </w:rPr>
      </w:pPr>
      <w:r w:rsidRPr="000E41C9">
        <w:rPr>
          <w:szCs w:val="24"/>
        </w:rPr>
        <w:t xml:space="preserve">Suppl Figure </w:t>
      </w:r>
      <w:r>
        <w:rPr>
          <w:szCs w:val="24"/>
        </w:rPr>
        <w:t>3</w:t>
      </w:r>
      <w:r w:rsidRPr="000E41C9">
        <w:rPr>
          <w:szCs w:val="24"/>
        </w:rPr>
        <w:t>. Plasma concentration of naloxone in individual rats for the two doses of IV NLX (A, 0.035 mg/kg, n=3; B, 0.17 mg/kg, n=3).</w:t>
      </w:r>
    </w:p>
    <w:p w14:paraId="0E058703" w14:textId="77777777" w:rsidR="00140C93" w:rsidRPr="000E41C9" w:rsidRDefault="00140C93" w:rsidP="00140C93">
      <w:pPr>
        <w:spacing w:before="0"/>
        <w:jc w:val="left"/>
        <w:rPr>
          <w:szCs w:val="24"/>
        </w:rPr>
      </w:pPr>
    </w:p>
    <w:p w14:paraId="7F308BA8" w14:textId="77777777" w:rsidR="002C223D" w:rsidRDefault="002C223D" w:rsidP="002C223D">
      <w:r>
        <w:br w:type="page"/>
      </w:r>
    </w:p>
    <w:p w14:paraId="046AAB57" w14:textId="77777777" w:rsidR="002C223D" w:rsidRPr="009974BA" w:rsidRDefault="002C223D" w:rsidP="002C223D">
      <w:r w:rsidRPr="009974BA">
        <w:lastRenderedPageBreak/>
        <w:t xml:space="preserve">Supplement Figure </w:t>
      </w:r>
      <w:r>
        <w:t>4</w:t>
      </w:r>
      <w:r w:rsidRPr="009974BA">
        <w:t xml:space="preserve">. </w:t>
      </w:r>
    </w:p>
    <w:p w14:paraId="0B3BCD19" w14:textId="77777777" w:rsidR="002C223D" w:rsidRDefault="002C223D" w:rsidP="002C223D"/>
    <w:p w14:paraId="5B3AFBB8" w14:textId="05193BC3" w:rsidR="00140C93" w:rsidRPr="00140C93" w:rsidRDefault="002C223D" w:rsidP="00140C93">
      <w:r>
        <w:rPr>
          <w:noProof/>
        </w:rPr>
        <w:drawing>
          <wp:inline distT="0" distB="0" distL="0" distR="0" wp14:anchorId="62F483D9" wp14:editId="59730C37">
            <wp:extent cx="3695700" cy="3327400"/>
            <wp:effectExtent l="0" t="0" r="0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6FBED" w14:textId="77777777" w:rsidR="00140C93" w:rsidRPr="000E41C9" w:rsidRDefault="00140C93" w:rsidP="00140C93">
      <w:pPr>
        <w:spacing w:before="0"/>
        <w:jc w:val="left"/>
        <w:rPr>
          <w:szCs w:val="24"/>
        </w:rPr>
      </w:pPr>
    </w:p>
    <w:p w14:paraId="70EAADFC" w14:textId="77777777" w:rsidR="00140C93" w:rsidRPr="000E41C9" w:rsidRDefault="00140C93" w:rsidP="00140C93">
      <w:pPr>
        <w:spacing w:before="0"/>
        <w:jc w:val="left"/>
        <w:rPr>
          <w:szCs w:val="24"/>
        </w:rPr>
      </w:pPr>
      <w:r w:rsidRPr="000E41C9">
        <w:rPr>
          <w:szCs w:val="24"/>
        </w:rPr>
        <w:t xml:space="preserve">Suppl Figure </w:t>
      </w:r>
      <w:r>
        <w:rPr>
          <w:szCs w:val="24"/>
        </w:rPr>
        <w:t>4</w:t>
      </w:r>
      <w:r w:rsidRPr="000E41C9">
        <w:rPr>
          <w:szCs w:val="24"/>
        </w:rPr>
        <w:t>. Correlation between MOR occupancy and IV NLX concentration in plasma. Estimated half-maximal effect (EC</w:t>
      </w:r>
      <w:r w:rsidRPr="000E41C9">
        <w:rPr>
          <w:szCs w:val="24"/>
          <w:vertAlign w:val="subscript"/>
        </w:rPr>
        <w:t>50</w:t>
      </w:r>
      <w:r w:rsidRPr="000E41C9">
        <w:rPr>
          <w:szCs w:val="24"/>
        </w:rPr>
        <w:t xml:space="preserve">) is 0.2 ng/ml. </w:t>
      </w:r>
    </w:p>
    <w:p w14:paraId="45C5D55D" w14:textId="77777777" w:rsidR="00C049ED" w:rsidRDefault="00DF6623"/>
    <w:sectPr w:rsidR="00C049E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23D"/>
    <w:rsid w:val="00080B6C"/>
    <w:rsid w:val="00140C93"/>
    <w:rsid w:val="001E2BCC"/>
    <w:rsid w:val="00293F4F"/>
    <w:rsid w:val="002C223D"/>
    <w:rsid w:val="00300DE0"/>
    <w:rsid w:val="0034174A"/>
    <w:rsid w:val="00401211"/>
    <w:rsid w:val="00551E74"/>
    <w:rsid w:val="005706DF"/>
    <w:rsid w:val="007E3204"/>
    <w:rsid w:val="009C2BA2"/>
    <w:rsid w:val="00A31E3C"/>
    <w:rsid w:val="00A91836"/>
    <w:rsid w:val="00B83948"/>
    <w:rsid w:val="00B928AE"/>
    <w:rsid w:val="00C052FD"/>
    <w:rsid w:val="00CC1829"/>
    <w:rsid w:val="00CC224F"/>
    <w:rsid w:val="00DF6623"/>
    <w:rsid w:val="00EB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8AA1F9"/>
  <w15:chartTrackingRefBased/>
  <w15:docId w15:val="{D89FD9D3-9C52-A84A-941E-A50374BF3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23D"/>
    <w:pPr>
      <w:spacing w:before="120" w:after="160" w:line="360" w:lineRule="auto"/>
      <w:jc w:val="both"/>
    </w:pPr>
    <w:rPr>
      <w:rFonts w:ascii="Times New Roman" w:hAnsi="Times New Roman" w:cs="Times New Roman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Kang, Yeona (NIH/NIAAA) [V]</dc:creator>
  <cp:keywords/>
  <dc:description/>
  <cp:lastModifiedBy>Kang, Yeona (NIH/NIAAA) [V]</cp:lastModifiedBy>
  <cp:revision>3</cp:revision>
  <dcterms:created xsi:type="dcterms:W3CDTF">2022-01-17T21:24:00Z</dcterms:created>
  <dcterms:modified xsi:type="dcterms:W3CDTF">2022-01-17T21:38:00Z</dcterms:modified>
</cp:coreProperties>
</file>