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250E1" w14:textId="77777777" w:rsidR="00B769D3" w:rsidRPr="001858E4" w:rsidRDefault="00B769D3" w:rsidP="00B769D3">
      <w:pPr>
        <w:jc w:val="left"/>
        <w:rPr>
          <w:rFonts w:cs="Times New Roman"/>
          <w:sz w:val="22"/>
          <w:lang w:val="en-GB"/>
        </w:rPr>
      </w:pPr>
      <w:r w:rsidRPr="001858E4">
        <w:rPr>
          <w:rFonts w:cs="Times New Roman"/>
          <w:b/>
          <w:bCs/>
          <w:sz w:val="22"/>
          <w:lang w:val="en-GB"/>
        </w:rPr>
        <w:t xml:space="preserve">Figure 1: </w:t>
      </w:r>
      <w:r w:rsidRPr="001858E4">
        <w:rPr>
          <w:rFonts w:cs="Times New Roman"/>
          <w:sz w:val="22"/>
          <w:lang w:val="en-GB"/>
        </w:rPr>
        <w:t>Two approaches for anticipating the onset of the high transmission season in 2019: App-A, based on median rainfall data and median lag data for the 2014-2018 period (Panel a); App-B, based on observational rainfall data for 2019 and median lag data for the 2014-2018 period (Panel b). The colour scales represent the onset week (W).</w:t>
      </w:r>
      <w:r>
        <w:rPr>
          <w:rFonts w:cs="Times New Roman"/>
          <w:sz w:val="22"/>
          <w:lang w:val="en-GB"/>
        </w:rPr>
        <w:t xml:space="preserve"> </w:t>
      </w:r>
      <w:r w:rsidRPr="001858E4">
        <w:rPr>
          <w:rFonts w:cs="Times New Roman"/>
          <w:sz w:val="22"/>
          <w:lang w:val="en-GB"/>
        </w:rPr>
        <w:t xml:space="preserve">Maps showing prediction errors in weeks using App-A (Panel </w:t>
      </w:r>
      <w:r>
        <w:rPr>
          <w:rFonts w:cs="Times New Roman"/>
          <w:sz w:val="22"/>
          <w:lang w:val="en-GB"/>
        </w:rPr>
        <w:t>c</w:t>
      </w:r>
      <w:r w:rsidRPr="001858E4">
        <w:rPr>
          <w:rFonts w:cs="Times New Roman"/>
          <w:sz w:val="22"/>
          <w:lang w:val="en-GB"/>
        </w:rPr>
        <w:t xml:space="preserve">) and App-B (Panel </w:t>
      </w:r>
      <w:r>
        <w:rPr>
          <w:rFonts w:cs="Times New Roman"/>
          <w:sz w:val="22"/>
          <w:lang w:val="en-GB"/>
        </w:rPr>
        <w:t>d</w:t>
      </w:r>
      <w:r w:rsidRPr="001858E4">
        <w:rPr>
          <w:rFonts w:cs="Times New Roman"/>
          <w:sz w:val="22"/>
          <w:lang w:val="en-GB"/>
        </w:rPr>
        <w:t>). The colour scales represent the error value.</w:t>
      </w:r>
      <w:r>
        <w:rPr>
          <w:rFonts w:cs="Times New Roman"/>
          <w:sz w:val="22"/>
          <w:lang w:val="en-GB"/>
        </w:rPr>
        <w:t xml:space="preserve"> </w:t>
      </w:r>
    </w:p>
    <w:p w14:paraId="545CB695" w14:textId="065610C9" w:rsidR="00ED6FDA" w:rsidRDefault="00ED6FDA"/>
    <w:p w14:paraId="2ECEA81E" w14:textId="49144A1C" w:rsidR="00B769D3" w:rsidRDefault="00B769D3"/>
    <w:p w14:paraId="2A6BEB64" w14:textId="09321F4B" w:rsidR="00B769D3" w:rsidRDefault="00B769D3"/>
    <w:p w14:paraId="24C6B2B7" w14:textId="3119546B" w:rsidR="00B769D3" w:rsidRPr="001858E4" w:rsidRDefault="00B769D3" w:rsidP="00B769D3">
      <w:pPr>
        <w:jc w:val="left"/>
        <w:rPr>
          <w:rFonts w:cs="Times New Roman"/>
          <w:sz w:val="22"/>
          <w:lang w:val="en-GB"/>
        </w:rPr>
      </w:pPr>
      <w:r w:rsidRPr="001858E4">
        <w:rPr>
          <w:b/>
          <w:bCs/>
          <w:lang w:val="en-GB"/>
        </w:rPr>
        <w:t xml:space="preserve">Figure </w:t>
      </w:r>
      <w:r>
        <w:rPr>
          <w:b/>
          <w:bCs/>
          <w:lang w:val="en-GB"/>
        </w:rPr>
        <w:t>2</w:t>
      </w:r>
      <w:r w:rsidRPr="001858E4">
        <w:rPr>
          <w:b/>
          <w:bCs/>
          <w:lang w:val="en-GB"/>
        </w:rPr>
        <w:t>:</w:t>
      </w:r>
      <w:r w:rsidRPr="001858E4">
        <w:rPr>
          <w:rFonts w:cs="Times New Roman"/>
          <w:sz w:val="22"/>
          <w:lang w:val="en-GB"/>
        </w:rPr>
        <w:t xml:space="preserve"> Duration and seasonality of malaria transmission in 4 </w:t>
      </w:r>
      <w:proofErr w:type="gramStart"/>
      <w:r w:rsidRPr="001858E4">
        <w:rPr>
          <w:rFonts w:cs="Times New Roman"/>
          <w:sz w:val="22"/>
          <w:lang w:val="en-GB"/>
        </w:rPr>
        <w:t>particular health</w:t>
      </w:r>
      <w:proofErr w:type="gramEnd"/>
      <w:r w:rsidRPr="001858E4">
        <w:rPr>
          <w:rFonts w:cs="Times New Roman"/>
          <w:sz w:val="22"/>
          <w:lang w:val="en-GB"/>
        </w:rPr>
        <w:t xml:space="preserve"> districts: bimodal seasonality (Panel a); usual seasonality (from July to December) (Panel b); absence of seasonality (Panel c); low seasonal transmission (Panel d).   </w:t>
      </w:r>
    </w:p>
    <w:p w14:paraId="62E72A0E" w14:textId="75C2C9CE" w:rsidR="00B769D3" w:rsidRDefault="00B769D3">
      <w:pPr>
        <w:rPr>
          <w:lang w:val="en-GB"/>
        </w:rPr>
      </w:pPr>
    </w:p>
    <w:p w14:paraId="4CC4CDEF" w14:textId="351D2B75" w:rsidR="00B769D3" w:rsidRDefault="00B769D3">
      <w:pPr>
        <w:rPr>
          <w:lang w:val="en-GB"/>
        </w:rPr>
      </w:pPr>
    </w:p>
    <w:p w14:paraId="3B18F4FB" w14:textId="477B13FB" w:rsidR="00B769D3" w:rsidRDefault="00B769D3">
      <w:pPr>
        <w:rPr>
          <w:lang w:val="en-GB"/>
        </w:rPr>
      </w:pPr>
    </w:p>
    <w:p w14:paraId="1DB1A002" w14:textId="77777777" w:rsidR="00B769D3" w:rsidRPr="001858E4" w:rsidRDefault="00B769D3" w:rsidP="00B769D3">
      <w:pPr>
        <w:jc w:val="left"/>
        <w:rPr>
          <w:sz w:val="22"/>
          <w:szCs w:val="20"/>
          <w:lang w:val="en-GB"/>
        </w:rPr>
      </w:pPr>
      <w:r w:rsidRPr="001858E4">
        <w:rPr>
          <w:b/>
          <w:bCs/>
          <w:lang w:val="en-GB"/>
        </w:rPr>
        <w:t xml:space="preserve">Figure </w:t>
      </w:r>
      <w:r>
        <w:rPr>
          <w:b/>
          <w:bCs/>
          <w:lang w:val="en-GB"/>
        </w:rPr>
        <w:t>3</w:t>
      </w:r>
      <w:r w:rsidRPr="001858E4">
        <w:rPr>
          <w:b/>
          <w:bCs/>
          <w:lang w:val="en-GB"/>
        </w:rPr>
        <w:t xml:space="preserve"> </w:t>
      </w:r>
      <w:r w:rsidRPr="001858E4">
        <w:rPr>
          <w:sz w:val="22"/>
          <w:szCs w:val="20"/>
          <w:lang w:val="en-GB"/>
        </w:rPr>
        <w:t>Number of rounds of seasonal chemoprevention (SMC) needed in each health district based on the duration of the high transmission season. The colour scale represents the number of estimated SMC rounds.</w:t>
      </w:r>
    </w:p>
    <w:p w14:paraId="57BA5302" w14:textId="33C848D1" w:rsidR="00B769D3" w:rsidRDefault="00B769D3">
      <w:pPr>
        <w:rPr>
          <w:lang w:val="en-GB"/>
        </w:rPr>
      </w:pPr>
    </w:p>
    <w:p w14:paraId="259E3964" w14:textId="420C8566" w:rsidR="00B769D3" w:rsidRDefault="00B769D3">
      <w:pPr>
        <w:rPr>
          <w:lang w:val="en-GB"/>
        </w:rPr>
      </w:pPr>
    </w:p>
    <w:p w14:paraId="7D2FCAC7" w14:textId="77777777" w:rsidR="00B769D3" w:rsidRPr="001858E4" w:rsidRDefault="00B769D3" w:rsidP="00B769D3">
      <w:pPr>
        <w:jc w:val="left"/>
        <w:rPr>
          <w:sz w:val="22"/>
          <w:szCs w:val="20"/>
          <w:lang w:val="en-GB"/>
        </w:rPr>
      </w:pPr>
      <w:r w:rsidRPr="001858E4">
        <w:rPr>
          <w:b/>
          <w:bCs/>
          <w:sz w:val="22"/>
          <w:szCs w:val="20"/>
          <w:lang w:val="en-GB"/>
        </w:rPr>
        <w:t xml:space="preserve">Figure </w:t>
      </w:r>
      <w:r>
        <w:rPr>
          <w:b/>
          <w:bCs/>
          <w:sz w:val="22"/>
          <w:szCs w:val="20"/>
          <w:lang w:val="en-GB"/>
        </w:rPr>
        <w:t>4</w:t>
      </w:r>
      <w:r w:rsidRPr="001858E4">
        <w:rPr>
          <w:sz w:val="22"/>
          <w:szCs w:val="20"/>
          <w:lang w:val="en-GB"/>
        </w:rPr>
        <w:t xml:space="preserve"> Additional costs of the adapted SMC by health district </w:t>
      </w:r>
      <w:r w:rsidRPr="001858E4">
        <w:rPr>
          <w:rFonts w:cs="Times New Roman"/>
          <w:sz w:val="22"/>
          <w:lang w:val="en-GB"/>
        </w:rPr>
        <w:t xml:space="preserve">(Panel a). The </w:t>
      </w:r>
      <w:proofErr w:type="spellStart"/>
      <w:r w:rsidRPr="001858E4">
        <w:rPr>
          <w:rFonts w:cs="Times New Roman"/>
          <w:sz w:val="22"/>
          <w:lang w:val="en-GB"/>
        </w:rPr>
        <w:t>color</w:t>
      </w:r>
      <w:proofErr w:type="spellEnd"/>
      <w:r w:rsidRPr="001858E4">
        <w:rPr>
          <w:rFonts w:cs="Times New Roman"/>
          <w:sz w:val="22"/>
          <w:lang w:val="en-GB"/>
        </w:rPr>
        <w:t xml:space="preserve"> scale represents the differences between the observed costs (national SMC strategy) and the estimated cost (adapted SMC strategy);</w:t>
      </w:r>
      <w:r w:rsidRPr="001858E4">
        <w:rPr>
          <w:sz w:val="22"/>
          <w:szCs w:val="20"/>
          <w:lang w:val="en-GB"/>
        </w:rPr>
        <w:t xml:space="preserve"> Potential preventive cases due to the adapted SMC </w:t>
      </w:r>
      <w:r w:rsidRPr="001858E4">
        <w:rPr>
          <w:rFonts w:cs="Times New Roman"/>
          <w:sz w:val="22"/>
          <w:lang w:val="en-GB"/>
        </w:rPr>
        <w:t xml:space="preserve">(Panel b). The </w:t>
      </w:r>
      <w:proofErr w:type="spellStart"/>
      <w:r w:rsidRPr="001858E4">
        <w:rPr>
          <w:rFonts w:cs="Times New Roman"/>
          <w:sz w:val="22"/>
          <w:lang w:val="en-GB"/>
        </w:rPr>
        <w:t>color</w:t>
      </w:r>
      <w:proofErr w:type="spellEnd"/>
      <w:r w:rsidRPr="001858E4">
        <w:rPr>
          <w:rFonts w:cs="Times New Roman"/>
          <w:sz w:val="22"/>
          <w:lang w:val="en-GB"/>
        </w:rPr>
        <w:t xml:space="preserve"> scale represents the estimated number of cases that could be prevented by the adapted SMC strategy. Grey: no additional prevention. </w:t>
      </w:r>
    </w:p>
    <w:p w14:paraId="75666C40" w14:textId="77777777" w:rsidR="00B769D3" w:rsidRPr="00B769D3" w:rsidRDefault="00B769D3">
      <w:pPr>
        <w:rPr>
          <w:lang w:val="en-GB"/>
        </w:rPr>
      </w:pPr>
    </w:p>
    <w:sectPr w:rsidR="00B769D3" w:rsidRPr="00B769D3" w:rsidSect="006722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478B6"/>
    <w:multiLevelType w:val="multilevel"/>
    <w:tmpl w:val="CB7A885A"/>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37C0BD6"/>
    <w:multiLevelType w:val="hybridMultilevel"/>
    <w:tmpl w:val="F9107C72"/>
    <w:lvl w:ilvl="0" w:tplc="F4EEF4D8">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66C257A"/>
    <w:multiLevelType w:val="hybridMultilevel"/>
    <w:tmpl w:val="85BAA216"/>
    <w:lvl w:ilvl="0" w:tplc="DBC0DCF2">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C3C4B29"/>
    <w:multiLevelType w:val="hybridMultilevel"/>
    <w:tmpl w:val="0E903144"/>
    <w:lvl w:ilvl="0" w:tplc="E0A6F5E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ECE68CC"/>
    <w:multiLevelType w:val="hybridMultilevel"/>
    <w:tmpl w:val="78223F5C"/>
    <w:lvl w:ilvl="0" w:tplc="B882FDDA">
      <w:start w:val="1"/>
      <w:numFmt w:val="decimal"/>
      <w:lvlText w:val="%1.1."/>
      <w:lvlJc w:val="left"/>
      <w:pPr>
        <w:ind w:left="36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abstractNumId w:val="2"/>
  </w:num>
  <w:num w:numId="2">
    <w:abstractNumId w:val="1"/>
  </w:num>
  <w:num w:numId="3">
    <w:abstractNumId w:val="3"/>
  </w:num>
  <w:num w:numId="4">
    <w:abstractNumId w:val="4"/>
  </w:num>
  <w:num w:numId="5">
    <w:abstractNumId w:val="4"/>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80C"/>
    <w:rsid w:val="000034D6"/>
    <w:rsid w:val="00264BA2"/>
    <w:rsid w:val="00383BFA"/>
    <w:rsid w:val="004179AA"/>
    <w:rsid w:val="0048024B"/>
    <w:rsid w:val="004A5FDE"/>
    <w:rsid w:val="004B1310"/>
    <w:rsid w:val="005E2909"/>
    <w:rsid w:val="006722AC"/>
    <w:rsid w:val="00A6200E"/>
    <w:rsid w:val="00AD2608"/>
    <w:rsid w:val="00B769D3"/>
    <w:rsid w:val="00C9432A"/>
    <w:rsid w:val="00CB0131"/>
    <w:rsid w:val="00D5280C"/>
    <w:rsid w:val="00ED6FDA"/>
    <w:rsid w:val="00FF1B05"/>
  </w:rsids>
  <m:mathPr>
    <m:mathFont m:val="Cambria Math"/>
    <m:brkBin m:val="before"/>
    <m:brkBinSub m:val="--"/>
    <m:smallFrac m:val="0"/>
    <m:dispDef/>
    <m:lMargin m:val="0"/>
    <m:rMargin m:val="0"/>
    <m:defJc m:val="centerGroup"/>
    <m:wrapIndent m:val="1440"/>
    <m:intLim m:val="subSup"/>
    <m:naryLim m:val="undOvr"/>
  </m:mathPr>
  <w:themeFontLang w:val="fr-FR" w:eastAsia="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5CD6A"/>
  <w15:chartTrackingRefBased/>
  <w15:docId w15:val="{E47EE4E5-BE51-40E7-BEC4-F94E28E99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9D3"/>
    <w:pPr>
      <w:spacing w:after="0" w:line="360" w:lineRule="auto"/>
      <w:jc w:val="both"/>
    </w:pPr>
    <w:rPr>
      <w:rFonts w:ascii="Times New Roman" w:hAnsi="Times New Roman"/>
      <w:sz w:val="24"/>
    </w:rPr>
  </w:style>
  <w:style w:type="paragraph" w:styleId="Titre1">
    <w:name w:val="heading 1"/>
    <w:basedOn w:val="Normal"/>
    <w:next w:val="Normal"/>
    <w:link w:val="Titre1Car"/>
    <w:autoRedefine/>
    <w:uiPriority w:val="9"/>
    <w:qFormat/>
    <w:rsid w:val="00CB0131"/>
    <w:pPr>
      <w:keepNext/>
      <w:keepLines/>
      <w:numPr>
        <w:numId w:val="6"/>
      </w:numPr>
      <w:suppressAutoHyphens/>
      <w:autoSpaceDN w:val="0"/>
      <w:spacing w:before="240"/>
      <w:ind w:hanging="360"/>
      <w:jc w:val="left"/>
      <w:textAlignment w:val="baseline"/>
      <w:outlineLvl w:val="0"/>
    </w:pPr>
    <w:rPr>
      <w:rFonts w:eastAsiaTheme="majorEastAsia" w:cstheme="majorBidi"/>
      <w:sz w:val="32"/>
      <w:szCs w:val="32"/>
      <w:lang w:eastAsia="fr-FR"/>
    </w:rPr>
  </w:style>
  <w:style w:type="paragraph" w:styleId="Titre2">
    <w:name w:val="heading 2"/>
    <w:basedOn w:val="Sous-titre"/>
    <w:next w:val="Normal"/>
    <w:link w:val="Titre2Car"/>
    <w:autoRedefine/>
    <w:uiPriority w:val="9"/>
    <w:unhideWhenUsed/>
    <w:qFormat/>
    <w:rsid w:val="00C9432A"/>
    <w:pPr>
      <w:keepNext/>
      <w:keepLines/>
      <w:numPr>
        <w:ilvl w:val="0"/>
      </w:numPr>
      <w:spacing w:before="40" w:line="240" w:lineRule="auto"/>
      <w:ind w:left="578" w:hanging="578"/>
      <w:jc w:val="both"/>
      <w:outlineLvl w:val="1"/>
    </w:pPr>
    <w:rPr>
      <w:rFonts w:eastAsiaTheme="majorEastAsia" w:cstheme="majorBidi"/>
      <w:b/>
      <w:bCs/>
      <w:sz w:val="26"/>
      <w:szCs w:val="26"/>
      <w:lang w:eastAsia="fr-FR"/>
    </w:rPr>
  </w:style>
  <w:style w:type="paragraph" w:styleId="Titre3">
    <w:name w:val="heading 3"/>
    <w:basedOn w:val="Normal"/>
    <w:next w:val="Normal"/>
    <w:link w:val="Titre3Car"/>
    <w:autoRedefine/>
    <w:uiPriority w:val="9"/>
    <w:semiHidden/>
    <w:unhideWhenUsed/>
    <w:qFormat/>
    <w:rsid w:val="004179AA"/>
    <w:pPr>
      <w:keepNext/>
      <w:keepLines/>
      <w:tabs>
        <w:tab w:val="num" w:pos="720"/>
      </w:tabs>
      <w:spacing w:before="40"/>
      <w:ind w:left="720" w:hanging="360"/>
      <w:jc w:val="left"/>
      <w:outlineLvl w:val="2"/>
    </w:pPr>
    <w:rPr>
      <w:rFonts w:eastAsiaTheme="majorEastAsia" w:cstheme="majorBidi"/>
      <w:sz w:val="22"/>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9432A"/>
    <w:rPr>
      <w:rFonts w:ascii="Times New Roman" w:eastAsiaTheme="majorEastAsia" w:hAnsi="Times New Roman" w:cstheme="majorBidi"/>
      <w:b/>
      <w:bCs/>
      <w:spacing w:val="15"/>
      <w:sz w:val="26"/>
      <w:szCs w:val="26"/>
      <w:lang w:eastAsia="fr-FR"/>
    </w:rPr>
  </w:style>
  <w:style w:type="character" w:customStyle="1" w:styleId="Titre1Car">
    <w:name w:val="Titre 1 Car"/>
    <w:basedOn w:val="Policepardfaut"/>
    <w:link w:val="Titre1"/>
    <w:uiPriority w:val="9"/>
    <w:rsid w:val="00CB0131"/>
    <w:rPr>
      <w:rFonts w:ascii="Times New Roman" w:eastAsiaTheme="majorEastAsia" w:hAnsi="Times New Roman" w:cstheme="majorBidi"/>
      <w:sz w:val="32"/>
      <w:szCs w:val="32"/>
      <w:lang w:eastAsia="fr-FR"/>
    </w:rPr>
  </w:style>
  <w:style w:type="character" w:customStyle="1" w:styleId="Titre3Car">
    <w:name w:val="Titre 3 Car"/>
    <w:basedOn w:val="Policepardfaut"/>
    <w:link w:val="Titre3"/>
    <w:uiPriority w:val="9"/>
    <w:semiHidden/>
    <w:rsid w:val="004179AA"/>
    <w:rPr>
      <w:rFonts w:ascii="Times New Roman" w:eastAsiaTheme="majorEastAsia" w:hAnsi="Times New Roman" w:cstheme="majorBidi"/>
      <w:szCs w:val="24"/>
    </w:rPr>
  </w:style>
  <w:style w:type="paragraph" w:styleId="Sous-titre">
    <w:name w:val="Subtitle"/>
    <w:basedOn w:val="Normal"/>
    <w:next w:val="Normal"/>
    <w:link w:val="Sous-titreCar"/>
    <w:autoRedefine/>
    <w:uiPriority w:val="11"/>
    <w:qFormat/>
    <w:rsid w:val="00A6200E"/>
    <w:pPr>
      <w:numPr>
        <w:ilvl w:val="1"/>
      </w:numPr>
      <w:spacing w:after="160"/>
      <w:jc w:val="left"/>
    </w:pPr>
    <w:rPr>
      <w:rFonts w:eastAsiaTheme="minorEastAsia"/>
      <w:spacing w:val="15"/>
      <w:sz w:val="22"/>
    </w:rPr>
  </w:style>
  <w:style w:type="character" w:customStyle="1" w:styleId="Sous-titreCar">
    <w:name w:val="Sous-titre Car"/>
    <w:basedOn w:val="Policepardfaut"/>
    <w:link w:val="Sous-titre"/>
    <w:uiPriority w:val="11"/>
    <w:rsid w:val="00A6200E"/>
    <w:rPr>
      <w:rFonts w:ascii="Times New Roman" w:eastAsiaTheme="minorEastAsia" w:hAnsi="Times New Roman"/>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209</Words>
  <Characters>1153</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Mady Cissoko</dc:creator>
  <cp:keywords/>
  <dc:description/>
  <cp:lastModifiedBy>Mady Cissoko</cp:lastModifiedBy>
  <cp:revision>2</cp:revision>
  <dcterms:created xsi:type="dcterms:W3CDTF">2022-01-05T23:48:00Z</dcterms:created>
  <dcterms:modified xsi:type="dcterms:W3CDTF">2022-01-05T23:54:00Z</dcterms:modified>
</cp:coreProperties>
</file>