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99CCA" w14:textId="1F806C3D" w:rsidR="00386883" w:rsidRDefault="00264FCB">
      <w:r w:rsidRPr="00FB582C">
        <w:rPr>
          <w:rFonts w:ascii="Times New Roman" w:hAnsi="Times New Roman"/>
          <w:sz w:val="24"/>
          <w:szCs w:val="24"/>
        </w:rPr>
        <w:t>Disease index (%) 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(Grade×Corresponding number of pathogenic seedlings</m:t>
                </m:r>
              </m:e>
            </m:nary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Total number of seedlings investigated×4</m:t>
            </m:r>
          </m:den>
        </m:f>
      </m:oMath>
      <w:r w:rsidRPr="00FB582C">
        <w:rPr>
          <w:rFonts w:ascii="Times New Roman" w:hAnsi="Times New Roman"/>
          <w:sz w:val="24"/>
          <w:szCs w:val="24"/>
        </w:rPr>
        <w:t>×100.</w:t>
      </w:r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FCB"/>
    <w:rsid w:val="00264FCB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845DB"/>
  <w15:chartTrackingRefBased/>
  <w15:docId w15:val="{5F73637A-1895-4FEC-B8E9-BD9F0F93E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2020-03-18T14:35:00Z</dcterms:created>
  <dcterms:modified xsi:type="dcterms:W3CDTF">2020-03-18T14:35:00Z</dcterms:modified>
</cp:coreProperties>
</file>