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675FB2" w14:textId="0BD70667" w:rsidR="00057C41" w:rsidRDefault="00057C41" w:rsidP="00057C41">
      <w:pPr>
        <w:spacing w:after="240"/>
        <w:rPr>
          <w:rFonts w:ascii="Times New Roman" w:eastAsia="SimSun" w:hAnsi="Times New Roman" w:cs="Times New Roman"/>
          <w:b/>
          <w:bCs/>
          <w:sz w:val="24"/>
          <w:szCs w:val="24"/>
        </w:rPr>
      </w:pPr>
      <w:r>
        <w:rPr>
          <w:rFonts w:ascii="Times New Roman" w:eastAsia="SimSun" w:hAnsi="Times New Roman" w:cs="Times New Roman"/>
          <w:b/>
          <w:noProof/>
          <w:sz w:val="24"/>
          <w:szCs w:val="24"/>
        </w:rPr>
        <w:drawing>
          <wp:inline distT="0" distB="0" distL="0" distR="0" wp14:anchorId="065B44DF" wp14:editId="62CDCA4E">
            <wp:extent cx="5276850" cy="2819400"/>
            <wp:effectExtent l="0" t="0" r="0" b="0"/>
            <wp:docPr id="6" name="Picture 6" descr="应用程序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应用程序&#10;&#10;低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81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CF0217" w14:textId="77777777" w:rsidR="00057C41" w:rsidRDefault="00057C41" w:rsidP="00057C41">
      <w:pPr>
        <w:spacing w:after="240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b/>
          <w:bCs/>
          <w:sz w:val="24"/>
          <w:szCs w:val="24"/>
        </w:rPr>
        <w:t>Fig.S1.</w:t>
      </w:r>
      <w:r>
        <w:rPr>
          <w:rFonts w:ascii="Times New Roman" w:eastAsia="SimSun" w:hAnsi="Times New Roman" w:cs="Times New Roman"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Establishment of </w:t>
      </w:r>
      <w:proofErr w:type="spellStart"/>
      <w:r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Hulth-Telhag</w:t>
      </w:r>
      <w:proofErr w:type="spellEnd"/>
      <w:r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 model.</w:t>
      </w:r>
      <w:r>
        <w:rPr>
          <w:rFonts w:ascii="Times New Roman" w:eastAsia="SimSun" w:hAnsi="Times New Roman" w:cs="Times New Roman"/>
          <w:sz w:val="24"/>
          <w:szCs w:val="24"/>
        </w:rPr>
        <w:t xml:space="preserve"> (a) The general somatotype </w:t>
      </w:r>
      <w:proofErr w:type="gramStart"/>
      <w:r>
        <w:rPr>
          <w:rFonts w:ascii="Times New Roman" w:eastAsia="SimSun" w:hAnsi="Times New Roman" w:cs="Times New Roman"/>
          <w:sz w:val="24"/>
          <w:szCs w:val="24"/>
        </w:rPr>
        <w:t>rat</w:t>
      </w:r>
      <w:proofErr w:type="gramEnd"/>
      <w:r>
        <w:rPr>
          <w:rFonts w:ascii="Times New Roman" w:eastAsia="SimSun" w:hAnsi="Times New Roman" w:cs="Times New Roman"/>
          <w:sz w:val="24"/>
          <w:szCs w:val="24"/>
        </w:rPr>
        <w:t xml:space="preserve">. (b) Expose the articular cavity, remove the medial meniscus. (c) The removal medial meniscus. (d) Articular cavity after </w:t>
      </w:r>
      <w:proofErr w:type="spellStart"/>
      <w:r>
        <w:rPr>
          <w:rFonts w:ascii="Times New Roman" w:eastAsia="SimSun" w:hAnsi="Times New Roman" w:cs="Times New Roman"/>
          <w:sz w:val="24"/>
          <w:szCs w:val="24"/>
        </w:rPr>
        <w:t>opration</w:t>
      </w:r>
      <w:proofErr w:type="spellEnd"/>
      <w:r>
        <w:rPr>
          <w:rFonts w:ascii="Times New Roman" w:eastAsia="SimSun" w:hAnsi="Times New Roman" w:cs="Times New Roman"/>
          <w:sz w:val="24"/>
          <w:szCs w:val="24"/>
        </w:rPr>
        <w:t>. (e) Suture articular cavity. (f) Postoperative gross view.</w:t>
      </w:r>
    </w:p>
    <w:p w14:paraId="718FD856" w14:textId="5F591D8B" w:rsidR="00057C41" w:rsidRDefault="00057C41" w:rsidP="00057C41">
      <w:pPr>
        <w:spacing w:after="240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66DD807" wp14:editId="41A12D71">
            <wp:extent cx="5276850" cy="6353175"/>
            <wp:effectExtent l="0" t="0" r="0" b="9525"/>
            <wp:docPr id="5" name="Picture 5" descr="工程绘图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工程绘图&#10;&#10;中度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635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6B4CFC" w14:textId="77777777" w:rsidR="00057C41" w:rsidRDefault="00057C41" w:rsidP="00057C41">
      <w:pPr>
        <w:spacing w:after="240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b/>
          <w:bCs/>
          <w:sz w:val="24"/>
          <w:szCs w:val="24"/>
        </w:rPr>
        <w:t>Fig.S2. AKBA intervention attenuated surgery-induced osteolysis in histological analysis of knee joint sections.</w:t>
      </w:r>
      <w:r>
        <w:rPr>
          <w:rFonts w:ascii="Times New Roman" w:eastAsia="SimSun" w:hAnsi="Times New Roman" w:cs="Times New Roman"/>
          <w:sz w:val="24"/>
          <w:szCs w:val="24"/>
        </w:rPr>
        <w:t xml:space="preserve"> (a) TRAP staining. (b) Number of TRAP-positive cells. (c) osteoclast surface/bone surface (</w:t>
      </w:r>
      <w:proofErr w:type="spellStart"/>
      <w:proofErr w:type="gramStart"/>
      <w:r>
        <w:rPr>
          <w:rFonts w:ascii="Times New Roman" w:eastAsia="SimSun" w:hAnsi="Times New Roman" w:cs="Times New Roman"/>
          <w:sz w:val="24"/>
          <w:szCs w:val="24"/>
        </w:rPr>
        <w:t>Oc.S</w:t>
      </w:r>
      <w:proofErr w:type="spellEnd"/>
      <w:proofErr w:type="gramEnd"/>
      <w:r>
        <w:rPr>
          <w:rFonts w:ascii="Times New Roman" w:eastAsia="SimSun" w:hAnsi="Times New Roman" w:cs="Times New Roman"/>
          <w:sz w:val="24"/>
          <w:szCs w:val="24"/>
        </w:rPr>
        <w:t xml:space="preserve">/BS). Both low-AKBA (2 mg/kg every other day) group and high-AKBA (8 mg/kg every other day) group received surgery intervention. n=6 per group. Scale bar=100μm. Data are presented as means ± SD. *P&lt;0.05, **P&lt;0.01. </w:t>
      </w:r>
    </w:p>
    <w:p w14:paraId="4D752F32" w14:textId="77777777" w:rsidR="00057C41" w:rsidRDefault="00057C41" w:rsidP="00057C41">
      <w:pPr>
        <w:spacing w:after="240"/>
        <w:rPr>
          <w:rFonts w:ascii="Times New Roman" w:eastAsia="SimSun" w:hAnsi="Times New Roman" w:cs="Times New Roman"/>
          <w:sz w:val="24"/>
          <w:szCs w:val="24"/>
        </w:rPr>
      </w:pPr>
    </w:p>
    <w:p w14:paraId="23A06E3A" w14:textId="77777777" w:rsidR="00057C41" w:rsidRDefault="00057C41" w:rsidP="00057C41">
      <w:pPr>
        <w:spacing w:after="240"/>
        <w:rPr>
          <w:rFonts w:ascii="Times New Roman" w:eastAsia="SimSun" w:hAnsi="Times New Roman" w:cs="Times New Roman"/>
          <w:sz w:val="24"/>
          <w:szCs w:val="24"/>
        </w:rPr>
      </w:pPr>
    </w:p>
    <w:p w14:paraId="5CB17179" w14:textId="602B1301" w:rsidR="00057C41" w:rsidRDefault="00057C41" w:rsidP="00057C41">
      <w:pPr>
        <w:spacing w:after="240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F058D82" wp14:editId="79E84EFC">
            <wp:extent cx="5276850" cy="2743200"/>
            <wp:effectExtent l="0" t="0" r="0" b="0"/>
            <wp:docPr id="4" name="Picture 4" descr="图表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图表&#10;&#10;中度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5B16F6" w14:textId="77777777" w:rsidR="00057C41" w:rsidRDefault="00057C41" w:rsidP="00057C41">
      <w:pPr>
        <w:spacing w:after="240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b/>
          <w:bCs/>
          <w:sz w:val="24"/>
          <w:szCs w:val="24"/>
        </w:rPr>
        <w:t>Fig.S3.</w:t>
      </w:r>
      <w:r>
        <w:rPr>
          <w:rFonts w:hint="eastAsia"/>
          <w:b/>
          <w:bCs/>
        </w:rPr>
        <w:t xml:space="preserve"> </w:t>
      </w:r>
      <w:r>
        <w:rPr>
          <w:rFonts w:ascii="Times New Roman" w:eastAsia="SimSun" w:hAnsi="Times New Roman" w:cs="Times New Roman"/>
          <w:b/>
          <w:bCs/>
          <w:sz w:val="24"/>
          <w:szCs w:val="24"/>
        </w:rPr>
        <w:t>Effects of AKBA on the cell viability of rat chondrocytes.</w:t>
      </w:r>
      <w:r>
        <w:rPr>
          <w:rFonts w:ascii="Times New Roman" w:eastAsia="SimSun" w:hAnsi="Times New Roman" w:cs="Times New Roman"/>
          <w:sz w:val="24"/>
          <w:szCs w:val="24"/>
        </w:rPr>
        <w:t xml:space="preserve"> (a, d) Chemical structure of AKBA and 3-O-C12-HSL. (b, e) Cell viability of AKBA and 3-O-C12-HSL after 24, 48, or 72h of treatment. CCK-8 assay was used to determine the viability after treatment. *P&lt;0.05, compared with 0 </w:t>
      </w:r>
      <w:proofErr w:type="spellStart"/>
      <w:r>
        <w:rPr>
          <w:rFonts w:ascii="Times New Roman" w:eastAsia="SimSun" w:hAnsi="Times New Roman" w:cs="Times New Roman"/>
          <w:sz w:val="24"/>
          <w:szCs w:val="24"/>
        </w:rPr>
        <w:t>μM</w:t>
      </w:r>
      <w:proofErr w:type="spellEnd"/>
      <w:r>
        <w:rPr>
          <w:rFonts w:ascii="Times New Roman" w:eastAsia="SimSun" w:hAnsi="Times New Roman" w:cs="Times New Roman"/>
          <w:sz w:val="24"/>
          <w:szCs w:val="24"/>
        </w:rPr>
        <w:t xml:space="preserve"> treatment (24h), </w:t>
      </w:r>
      <w:r>
        <w:rPr>
          <w:rFonts w:ascii="Times New Roman" w:eastAsia="SimSun" w:hAnsi="Times New Roman" w:cs="Times New Roman"/>
          <w:sz w:val="24"/>
          <w:szCs w:val="24"/>
          <w:vertAlign w:val="superscript"/>
        </w:rPr>
        <w:t>&amp;</w:t>
      </w:r>
      <w:r>
        <w:rPr>
          <w:rFonts w:ascii="Times New Roman" w:eastAsia="SimSun" w:hAnsi="Times New Roman" w:cs="Times New Roman"/>
          <w:sz w:val="24"/>
          <w:szCs w:val="24"/>
        </w:rPr>
        <w:t xml:space="preserve">P&lt;0.05, vs. 0 </w:t>
      </w:r>
      <w:proofErr w:type="spellStart"/>
      <w:r>
        <w:rPr>
          <w:rFonts w:ascii="Times New Roman" w:eastAsia="SimSun" w:hAnsi="Times New Roman" w:cs="Times New Roman"/>
          <w:sz w:val="24"/>
          <w:szCs w:val="24"/>
        </w:rPr>
        <w:t>μM</w:t>
      </w:r>
      <w:proofErr w:type="spellEnd"/>
      <w:r>
        <w:rPr>
          <w:rFonts w:ascii="Times New Roman" w:eastAsia="SimSun" w:hAnsi="Times New Roman" w:cs="Times New Roman"/>
          <w:sz w:val="24"/>
          <w:szCs w:val="24"/>
        </w:rPr>
        <w:t xml:space="preserve"> treatment (48h), and </w:t>
      </w:r>
      <w:r>
        <w:rPr>
          <w:rFonts w:ascii="Times New Roman" w:eastAsia="SimSun" w:hAnsi="Times New Roman" w:cs="Times New Roman"/>
          <w:sz w:val="24"/>
          <w:szCs w:val="24"/>
          <w:vertAlign w:val="superscript"/>
        </w:rPr>
        <w:t>#</w:t>
      </w:r>
      <w:r>
        <w:rPr>
          <w:rFonts w:ascii="Times New Roman" w:eastAsia="SimSun" w:hAnsi="Times New Roman" w:cs="Times New Roman"/>
          <w:sz w:val="24"/>
          <w:szCs w:val="24"/>
        </w:rPr>
        <w:t xml:space="preserve">P&lt;0.05, vs. 0 </w:t>
      </w:r>
      <w:proofErr w:type="spellStart"/>
      <w:r>
        <w:rPr>
          <w:rFonts w:ascii="Times New Roman" w:eastAsia="SimSun" w:hAnsi="Times New Roman" w:cs="Times New Roman"/>
          <w:sz w:val="24"/>
          <w:szCs w:val="24"/>
        </w:rPr>
        <w:t>μM</w:t>
      </w:r>
      <w:proofErr w:type="spellEnd"/>
      <w:r>
        <w:rPr>
          <w:rFonts w:ascii="Times New Roman" w:eastAsia="SimSun" w:hAnsi="Times New Roman" w:cs="Times New Roman"/>
          <w:sz w:val="24"/>
          <w:szCs w:val="24"/>
        </w:rPr>
        <w:t xml:space="preserve"> treatment (72h). (</w:t>
      </w:r>
      <w:proofErr w:type="spellStart"/>
      <w:proofErr w:type="gramStart"/>
      <w:r>
        <w:rPr>
          <w:rFonts w:ascii="Times New Roman" w:eastAsia="SimSun" w:hAnsi="Times New Roman" w:cs="Times New Roman"/>
          <w:sz w:val="24"/>
          <w:szCs w:val="24"/>
        </w:rPr>
        <w:t>c,f</w:t>
      </w:r>
      <w:proofErr w:type="spellEnd"/>
      <w:proofErr w:type="gramEnd"/>
      <w:r>
        <w:rPr>
          <w:rFonts w:ascii="Times New Roman" w:eastAsia="SimSun" w:hAnsi="Times New Roman" w:cs="Times New Roman"/>
          <w:sz w:val="24"/>
          <w:szCs w:val="24"/>
        </w:rPr>
        <w:t>) Inhibition rate of AKBA and 3-O-C12-HSL. Data are presented as means ± SD. n=6: six samples were obtained from six wells in a single experiment for the CCK-8 assay.</w:t>
      </w:r>
    </w:p>
    <w:p w14:paraId="278C9357" w14:textId="784F2322" w:rsidR="00057C41" w:rsidRDefault="00057C41" w:rsidP="00057C41">
      <w:pPr>
        <w:spacing w:after="240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312B5ED" wp14:editId="45FC3A23">
            <wp:extent cx="5276850" cy="4371975"/>
            <wp:effectExtent l="0" t="0" r="0" b="9525"/>
            <wp:docPr id="3" name="Picture 3" descr="工程绘图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工程绘图&#10;&#10;低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437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FD3E61" w14:textId="77777777" w:rsidR="00057C41" w:rsidRDefault="00057C41" w:rsidP="00057C41">
      <w:pPr>
        <w:spacing w:after="240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b/>
          <w:bCs/>
          <w:sz w:val="24"/>
          <w:szCs w:val="24"/>
        </w:rPr>
        <w:t>Fig.S4. 3-O-C12-HSL promoted inflammation and ECM degradation whether LPS was added or not.</w:t>
      </w:r>
      <w:r>
        <w:rPr>
          <w:rFonts w:ascii="Times New Roman" w:eastAsia="SimSun" w:hAnsi="Times New Roman" w:cs="Times New Roman"/>
          <w:sz w:val="24"/>
          <w:szCs w:val="24"/>
        </w:rPr>
        <w:t xml:space="preserve"> (a, c-e) Western blot analysis of expression levels of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IL-1β, IL-6, and TNF-α</w:t>
      </w:r>
      <w:r>
        <w:rPr>
          <w:rFonts w:ascii="Times New Roman" w:eastAsia="SimSun" w:hAnsi="Times New Roman" w:cs="Times New Roman"/>
          <w:sz w:val="24"/>
          <w:szCs w:val="24"/>
        </w:rPr>
        <w:t>. (b, f-</w:t>
      </w:r>
      <w:proofErr w:type="spellStart"/>
      <w:r>
        <w:rPr>
          <w:rFonts w:ascii="Times New Roman" w:eastAsia="SimSun" w:hAnsi="Times New Roman" w:cs="Times New Roman"/>
          <w:sz w:val="24"/>
          <w:szCs w:val="24"/>
        </w:rPr>
        <w:t>i</w:t>
      </w:r>
      <w:proofErr w:type="spellEnd"/>
      <w:r>
        <w:rPr>
          <w:rFonts w:ascii="Times New Roman" w:eastAsia="SimSun" w:hAnsi="Times New Roman" w:cs="Times New Roman"/>
          <w:sz w:val="24"/>
          <w:szCs w:val="24"/>
        </w:rPr>
        <w:t xml:space="preserve">) Western blot analysis of expression levels of Agg, col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II</w:t>
      </w:r>
      <w:r>
        <w:rPr>
          <w:rFonts w:ascii="Times New Roman" w:eastAsia="SimSun" w:hAnsi="Times New Roman" w:cs="Times New Roman"/>
          <w:sz w:val="24"/>
          <w:szCs w:val="24"/>
        </w:rPr>
        <w:t xml:space="preserve">, MMP-1, MMP-3, and MMP-13. The concentration of LPS and 3-O-C12-HSL was 1 </w:t>
      </w:r>
      <w:proofErr w:type="spellStart"/>
      <w:r>
        <w:rPr>
          <w:rFonts w:ascii="Times New Roman" w:eastAsia="SimSun" w:hAnsi="Times New Roman" w:cs="Times New Roman"/>
          <w:sz w:val="24"/>
          <w:szCs w:val="24"/>
        </w:rPr>
        <w:t>μg</w:t>
      </w:r>
      <w:proofErr w:type="spellEnd"/>
      <w:r>
        <w:rPr>
          <w:rFonts w:ascii="Times New Roman" w:eastAsia="SimSun" w:hAnsi="Times New Roman" w:cs="Times New Roman"/>
          <w:sz w:val="24"/>
          <w:szCs w:val="24"/>
        </w:rPr>
        <w:t xml:space="preserve">/ml and 5μM, respectively. Data are presented as means ± SD. n=6 in western blot. *P&lt;0.05 and **P&lt;0.01, vs. control group. </w:t>
      </w:r>
      <w:r>
        <w:rPr>
          <w:rFonts w:ascii="Times New Roman" w:eastAsia="SimSun" w:hAnsi="Times New Roman" w:cs="Times New Roman"/>
          <w:sz w:val="24"/>
          <w:szCs w:val="24"/>
          <w:vertAlign w:val="superscript"/>
        </w:rPr>
        <w:t>#</w:t>
      </w:r>
      <w:r>
        <w:rPr>
          <w:rFonts w:ascii="Times New Roman" w:eastAsia="SimSun" w:hAnsi="Times New Roman" w:cs="Times New Roman"/>
          <w:sz w:val="24"/>
          <w:szCs w:val="24"/>
        </w:rPr>
        <w:t xml:space="preserve">P&lt;0.05 and </w:t>
      </w:r>
      <w:r>
        <w:rPr>
          <w:rFonts w:ascii="Times New Roman" w:eastAsia="SimSun" w:hAnsi="Times New Roman" w:cs="Times New Roman"/>
          <w:sz w:val="24"/>
          <w:szCs w:val="24"/>
          <w:vertAlign w:val="superscript"/>
        </w:rPr>
        <w:t>##</w:t>
      </w:r>
      <w:r>
        <w:rPr>
          <w:rFonts w:ascii="Times New Roman" w:eastAsia="SimSun" w:hAnsi="Times New Roman" w:cs="Times New Roman"/>
          <w:sz w:val="24"/>
          <w:szCs w:val="24"/>
        </w:rPr>
        <w:t>P&lt;0.01, vs. LPS+3-O-C12-HSL group.</w:t>
      </w:r>
    </w:p>
    <w:p w14:paraId="4C4EFDE8" w14:textId="7C1E0F12" w:rsidR="00057C41" w:rsidRDefault="00057C41" w:rsidP="00057C41">
      <w:pPr>
        <w:spacing w:after="240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FDA2F1F" wp14:editId="337DCC94">
            <wp:extent cx="5198745" cy="8229600"/>
            <wp:effectExtent l="0" t="0" r="1905" b="0"/>
            <wp:docPr id="2" name="Picture 2" descr="游戏机里面的人物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游戏机里面的人物&#10;&#10;低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874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6F91FD" w14:textId="77777777" w:rsidR="00057C41" w:rsidRDefault="00057C41" w:rsidP="00057C41">
      <w:pPr>
        <w:spacing w:after="240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b/>
          <w:bCs/>
          <w:sz w:val="24"/>
          <w:szCs w:val="24"/>
        </w:rPr>
        <w:lastRenderedPageBreak/>
        <w:t>Fig.S5. 3-O-C12-HSL treatment reversed the effects of AKBA on inflammation and ECM degradation in chondrocytes.</w:t>
      </w:r>
      <w:r>
        <w:rPr>
          <w:rFonts w:ascii="Times New Roman" w:eastAsia="SimSun" w:hAnsi="Times New Roman" w:cs="Times New Roman"/>
          <w:sz w:val="24"/>
          <w:szCs w:val="24"/>
        </w:rPr>
        <w:t xml:space="preserve"> (a-d)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IL-1β, IL-6, and TNF-α</w:t>
      </w:r>
      <w:r>
        <w:rPr>
          <w:rFonts w:ascii="Times New Roman" w:eastAsia="SimSun" w:hAnsi="Times New Roman" w:cs="Times New Roman"/>
          <w:sz w:val="24"/>
          <w:szCs w:val="24"/>
        </w:rPr>
        <w:t xml:space="preserve"> protein expression levels. (e-g)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IL-1β, IL-6, and TNF-α</w:t>
      </w:r>
      <w:r>
        <w:rPr>
          <w:rFonts w:ascii="Times New Roman" w:eastAsia="SimSun" w:hAnsi="Times New Roman" w:cs="Times New Roman"/>
          <w:sz w:val="24"/>
          <w:szCs w:val="24"/>
        </w:rPr>
        <w:t xml:space="preserve"> mRNA expression levels. (h) Cellular immunofluorescence of col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II</w:t>
      </w:r>
      <w:r>
        <w:rPr>
          <w:rFonts w:ascii="Times New Roman" w:eastAsia="SimSun" w:hAnsi="Times New Roman" w:cs="Times New Roman"/>
          <w:sz w:val="24"/>
          <w:szCs w:val="24"/>
        </w:rPr>
        <w:t xml:space="preserve"> in chondrocytes. (</w:t>
      </w:r>
      <w:proofErr w:type="spellStart"/>
      <w:r>
        <w:rPr>
          <w:rFonts w:ascii="Times New Roman" w:eastAsia="SimSun" w:hAnsi="Times New Roman" w:cs="Times New Roman"/>
          <w:sz w:val="24"/>
          <w:szCs w:val="24"/>
        </w:rPr>
        <w:t>i</w:t>
      </w:r>
      <w:proofErr w:type="spellEnd"/>
      <w:r>
        <w:rPr>
          <w:rFonts w:ascii="Times New Roman" w:eastAsia="SimSun" w:hAnsi="Times New Roman" w:cs="Times New Roman"/>
          <w:sz w:val="24"/>
          <w:szCs w:val="24"/>
        </w:rPr>
        <w:t xml:space="preserve">-n) Agg, col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II</w:t>
      </w:r>
      <w:r>
        <w:rPr>
          <w:rFonts w:ascii="Times New Roman" w:eastAsia="SimSun" w:hAnsi="Times New Roman" w:cs="Times New Roman"/>
          <w:sz w:val="24"/>
          <w:szCs w:val="24"/>
        </w:rPr>
        <w:t xml:space="preserve">, MMP-1, MMP-3, and MMP-13 protein expression levels. (o-s) Agg, col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II</w:t>
      </w:r>
      <w:r>
        <w:rPr>
          <w:rFonts w:ascii="Times New Roman" w:eastAsia="SimSun" w:hAnsi="Times New Roman" w:cs="Times New Roman"/>
          <w:sz w:val="24"/>
          <w:szCs w:val="24"/>
        </w:rPr>
        <w:t xml:space="preserve">, MMP-1, MMP-3, and MMP-13 mRNA expression levels. Relative grey levels were quantified using Image J. The concentration of LPS, AKBA, and 3-O-C12-HSL was 1 </w:t>
      </w:r>
      <w:proofErr w:type="spellStart"/>
      <w:r>
        <w:rPr>
          <w:rFonts w:ascii="Times New Roman" w:eastAsia="SimSun" w:hAnsi="Times New Roman" w:cs="Times New Roman"/>
          <w:sz w:val="24"/>
          <w:szCs w:val="24"/>
        </w:rPr>
        <w:t>μg</w:t>
      </w:r>
      <w:proofErr w:type="spellEnd"/>
      <w:r>
        <w:rPr>
          <w:rFonts w:ascii="Times New Roman" w:eastAsia="SimSun" w:hAnsi="Times New Roman" w:cs="Times New Roman"/>
          <w:sz w:val="24"/>
          <w:szCs w:val="24"/>
        </w:rPr>
        <w:t>/ml, 8μM, and 5μM, respectively. Dates are presented as means ± SD of six duplicate experiments. *P&lt;0.05, **P&lt;0.01.</w:t>
      </w:r>
    </w:p>
    <w:p w14:paraId="0C404F2F" w14:textId="6929C5F2" w:rsidR="00057C41" w:rsidRDefault="00057C41" w:rsidP="00057C41">
      <w:pPr>
        <w:spacing w:after="240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04E92ED" wp14:editId="375C40AC">
            <wp:extent cx="5146040" cy="8229600"/>
            <wp:effectExtent l="0" t="0" r="0" b="0"/>
            <wp:docPr id="1" name="Picture 1" descr="图片包含 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 descr="图片包含 图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604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2A815D" w14:textId="77777777" w:rsidR="00057C41" w:rsidRDefault="00057C41" w:rsidP="00057C41">
      <w:pPr>
        <w:spacing w:after="240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b/>
          <w:bCs/>
          <w:sz w:val="24"/>
          <w:szCs w:val="24"/>
        </w:rPr>
        <w:lastRenderedPageBreak/>
        <w:t xml:space="preserve">Fig.S6. 3-O-C12-HSL treatment reversed the effects of AKBA on inhibition of </w:t>
      </w:r>
      <w:r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NF-</w:t>
      </w:r>
      <w:proofErr w:type="spellStart"/>
      <w:r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κB</w:t>
      </w:r>
      <w:proofErr w:type="spellEnd"/>
      <w:r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 signaling pathway in chondrocytes.</w:t>
      </w:r>
      <w:r>
        <w:rPr>
          <w:rFonts w:ascii="Times New Roman" w:eastAsia="SimSun" w:hAnsi="Times New Roman" w:cs="Times New Roman"/>
          <w:sz w:val="24"/>
          <w:szCs w:val="24"/>
        </w:rPr>
        <w:t xml:space="preserve"> (a-c) Western blot analysis of expression levels of p-IKK, IKK, p-</w:t>
      </w:r>
      <w:proofErr w:type="spellStart"/>
      <w:r>
        <w:rPr>
          <w:rFonts w:ascii="Times New Roman" w:eastAsia="SimSun" w:hAnsi="Times New Roman" w:cs="Times New Roman"/>
          <w:sz w:val="24"/>
          <w:szCs w:val="24"/>
        </w:rPr>
        <w:t>IκB</w:t>
      </w:r>
      <w:proofErr w:type="spellEnd"/>
      <w:r>
        <w:rPr>
          <w:rFonts w:ascii="Times New Roman" w:eastAsia="SimSun" w:hAnsi="Times New Roman" w:cs="Times New Roman"/>
          <w:sz w:val="24"/>
          <w:szCs w:val="24"/>
        </w:rPr>
        <w:t xml:space="preserve">α, </w:t>
      </w:r>
      <w:proofErr w:type="spellStart"/>
      <w:r>
        <w:rPr>
          <w:rFonts w:ascii="Times New Roman" w:eastAsia="SimSun" w:hAnsi="Times New Roman" w:cs="Times New Roman"/>
          <w:sz w:val="24"/>
          <w:szCs w:val="24"/>
        </w:rPr>
        <w:t>IκB</w:t>
      </w:r>
      <w:proofErr w:type="spellEnd"/>
      <w:r>
        <w:rPr>
          <w:rFonts w:ascii="Times New Roman" w:eastAsia="SimSun" w:hAnsi="Times New Roman" w:cs="Times New Roman"/>
          <w:sz w:val="24"/>
          <w:szCs w:val="24"/>
        </w:rPr>
        <w:t>α, p-P65, and P65. The relative grey levels of p-IKK/IKK, p-</w:t>
      </w:r>
      <w:proofErr w:type="spellStart"/>
      <w:r>
        <w:rPr>
          <w:rFonts w:ascii="Times New Roman" w:eastAsia="SimSun" w:hAnsi="Times New Roman" w:cs="Times New Roman"/>
          <w:sz w:val="24"/>
          <w:szCs w:val="24"/>
        </w:rPr>
        <w:t>IκB</w:t>
      </w:r>
      <w:proofErr w:type="spellEnd"/>
      <w:r>
        <w:rPr>
          <w:rFonts w:ascii="Times New Roman" w:eastAsia="SimSun" w:hAnsi="Times New Roman" w:cs="Times New Roman"/>
          <w:sz w:val="24"/>
          <w:szCs w:val="24"/>
        </w:rPr>
        <w:t xml:space="preserve">α/IκBα, and p-P65/P65. (d) Cellular immunofluorescence of p65 in chondrocytes. Relative grey levels were quantified using Image J. The concentration of LPS, AKBA, and 3-O-C12-HSL was 1 </w:t>
      </w:r>
      <w:proofErr w:type="spellStart"/>
      <w:r>
        <w:rPr>
          <w:rFonts w:ascii="Times New Roman" w:eastAsia="SimSun" w:hAnsi="Times New Roman" w:cs="Times New Roman"/>
          <w:sz w:val="24"/>
          <w:szCs w:val="24"/>
        </w:rPr>
        <w:t>μg</w:t>
      </w:r>
      <w:proofErr w:type="spellEnd"/>
      <w:r>
        <w:rPr>
          <w:rFonts w:ascii="Times New Roman" w:eastAsia="SimSun" w:hAnsi="Times New Roman" w:cs="Times New Roman"/>
          <w:sz w:val="24"/>
          <w:szCs w:val="24"/>
        </w:rPr>
        <w:t>/ml, 8μM, and 5μM, respectively. Dates are presented as means ± SD of six duplicate experiments. *P&lt;0.05, **P&lt;0.01.</w:t>
      </w:r>
    </w:p>
    <w:p w14:paraId="77A87F05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7C41"/>
    <w:rsid w:val="00057C41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A11F54"/>
  <w15:chartTrackingRefBased/>
  <w15:docId w15:val="{41A9CA88-3363-4671-A110-EB80997523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7C41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3706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439</Words>
  <Characters>2507</Characters>
  <Application>Microsoft Office Word</Application>
  <DocSecurity>0</DocSecurity>
  <Lines>20</Lines>
  <Paragraphs>5</Paragraphs>
  <ScaleCrop>false</ScaleCrop>
  <Company>Springer Nature</Company>
  <LinksUpToDate>false</LinksUpToDate>
  <CharactersWithSpaces>2941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2022-11-23T01:53:00Z</dcterms:created>
  <dcterms:modified xsi:type="dcterms:W3CDTF">2022-11-23T01:54:00Z</dcterms:modified>
</cp:coreProperties>
</file>