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33761" w:rsidRPr="00A82562" w:rsidRDefault="00233761" w:rsidP="00C33AE3">
      <w:pPr>
        <w:spacing w:line="480" w:lineRule="auto"/>
        <w:rPr>
          <w:rFonts w:ascii="Verdana" w:hAnsi="Verdana"/>
          <w:b/>
          <w:bCs/>
          <w:color w:val="000000" w:themeColor="text1"/>
          <w:sz w:val="22"/>
          <w:szCs w:val="22"/>
          <w:lang w:val="en-GB"/>
        </w:rPr>
      </w:pPr>
      <w:r w:rsidRPr="00A82562">
        <w:rPr>
          <w:rFonts w:ascii="Verdana" w:hAnsi="Verdana"/>
          <w:b/>
          <w:bCs/>
          <w:color w:val="000000" w:themeColor="text1"/>
          <w:sz w:val="22"/>
          <w:szCs w:val="22"/>
          <w:lang w:val="en-GB"/>
        </w:rPr>
        <w:t xml:space="preserve">Additional file </w:t>
      </w:r>
      <w:r w:rsidR="004579DD" w:rsidRPr="00A82562">
        <w:rPr>
          <w:rFonts w:ascii="Verdana" w:hAnsi="Verdana"/>
          <w:b/>
          <w:bCs/>
          <w:color w:val="000000" w:themeColor="text1"/>
          <w:sz w:val="22"/>
          <w:szCs w:val="22"/>
          <w:lang w:val="en-GB"/>
        </w:rPr>
        <w:t>8</w:t>
      </w:r>
      <w:r w:rsidRPr="00A82562">
        <w:rPr>
          <w:rFonts w:ascii="Verdana" w:hAnsi="Verdana"/>
          <w:b/>
          <w:bCs/>
          <w:color w:val="000000" w:themeColor="text1"/>
          <w:sz w:val="22"/>
          <w:szCs w:val="22"/>
          <w:lang w:val="en-GB"/>
        </w:rPr>
        <w:t xml:space="preserve"> – Comparison of high- and lower-quality studies </w:t>
      </w:r>
    </w:p>
    <w:p w:rsidR="00233761" w:rsidRPr="00A82562" w:rsidRDefault="00233761" w:rsidP="00C33AE3">
      <w:pPr>
        <w:spacing w:line="480" w:lineRule="auto"/>
        <w:rPr>
          <w:rFonts w:ascii="Verdana" w:hAnsi="Verdana"/>
          <w:color w:val="000000" w:themeColor="text1"/>
          <w:sz w:val="20"/>
          <w:szCs w:val="20"/>
          <w:lang w:val="en-GB"/>
        </w:rPr>
      </w:pPr>
      <w:r w:rsidRPr="00A82562">
        <w:rPr>
          <w:rFonts w:ascii="Verdana" w:hAnsi="Verdana"/>
          <w:color w:val="000000" w:themeColor="text1"/>
          <w:sz w:val="20"/>
          <w:szCs w:val="20"/>
          <w:lang w:val="en-GB"/>
        </w:rPr>
        <w:t xml:space="preserve">When combining high- and lower-quality studies, eight additional studies focused on vaccinees, </w:t>
      </w:r>
      <w:r w:rsidR="0099036F" w:rsidRPr="00A82562">
        <w:rPr>
          <w:rFonts w:ascii="Verdana" w:hAnsi="Verdana"/>
          <w:color w:val="000000" w:themeColor="text1"/>
          <w:sz w:val="20"/>
          <w:szCs w:val="20"/>
          <w:lang w:val="en-GB"/>
        </w:rPr>
        <w:t>fourteen</w:t>
      </w:r>
      <w:r w:rsidRPr="00A82562">
        <w:rPr>
          <w:rFonts w:ascii="Verdana" w:hAnsi="Verdana"/>
          <w:color w:val="000000" w:themeColor="text1"/>
          <w:sz w:val="20"/>
          <w:szCs w:val="20"/>
          <w:lang w:val="en-GB"/>
        </w:rPr>
        <w:t xml:space="preserve"> on representatives and </w:t>
      </w:r>
      <w:r w:rsidR="00BC10E3" w:rsidRPr="00A82562">
        <w:rPr>
          <w:rFonts w:ascii="Verdana" w:hAnsi="Verdana"/>
          <w:color w:val="000000" w:themeColor="text1"/>
          <w:sz w:val="20"/>
          <w:szCs w:val="20"/>
          <w:lang w:val="en-GB"/>
        </w:rPr>
        <w:t>three</w:t>
      </w:r>
      <w:r w:rsidRPr="00A82562">
        <w:rPr>
          <w:rFonts w:ascii="Verdana" w:hAnsi="Verdana"/>
          <w:color w:val="000000" w:themeColor="text1"/>
          <w:sz w:val="20"/>
          <w:szCs w:val="20"/>
          <w:lang w:val="en-GB"/>
        </w:rPr>
        <w:t xml:space="preserve"> on health advisors. Vaccinees </w:t>
      </w:r>
      <w:r w:rsidR="002910C9" w:rsidRPr="00A82562">
        <w:rPr>
          <w:rFonts w:ascii="Verdana" w:hAnsi="Verdana"/>
          <w:color w:val="000000" w:themeColor="text1"/>
          <w:sz w:val="20"/>
          <w:szCs w:val="20"/>
          <w:lang w:val="en-GB"/>
        </w:rPr>
        <w:t>as well as</w:t>
      </w:r>
      <w:r w:rsidRPr="00A82562">
        <w:rPr>
          <w:rFonts w:ascii="Verdana" w:hAnsi="Verdana"/>
          <w:color w:val="000000" w:themeColor="text1"/>
          <w:sz w:val="20"/>
          <w:szCs w:val="20"/>
          <w:lang w:val="en-GB"/>
        </w:rPr>
        <w:t xml:space="preserve"> representatives were targeted in one lower-quality study. In line with the approaches used for comparing high-quality studies, studies targeting health advisors were added to the representatives and outcomes of the study of Verelst et al. [</w:t>
      </w:r>
      <w:r w:rsidR="00823E4F" w:rsidRPr="00A82562">
        <w:rPr>
          <w:rFonts w:ascii="Verdana" w:hAnsi="Verdana"/>
          <w:color w:val="000000" w:themeColor="text1"/>
          <w:sz w:val="20"/>
          <w:szCs w:val="20"/>
          <w:lang w:val="en-GB"/>
        </w:rPr>
        <w:t>1</w:t>
      </w:r>
      <w:r w:rsidRPr="00A82562">
        <w:rPr>
          <w:rFonts w:ascii="Verdana" w:hAnsi="Verdana"/>
          <w:color w:val="000000" w:themeColor="text1"/>
          <w:sz w:val="20"/>
          <w:szCs w:val="20"/>
          <w:lang w:val="en-GB"/>
        </w:rPr>
        <w:t xml:space="preserve">] were split (and grouped under vaccinees as well as representatives). Consequently, data of eighteen studies were compared for vaccinees and </w:t>
      </w:r>
      <w:r w:rsidR="002910C9" w:rsidRPr="00A82562">
        <w:rPr>
          <w:rFonts w:ascii="Verdana" w:hAnsi="Verdana"/>
          <w:color w:val="000000" w:themeColor="text1"/>
          <w:sz w:val="20"/>
          <w:szCs w:val="20"/>
          <w:lang w:val="en-GB"/>
        </w:rPr>
        <w:t>2</w:t>
      </w:r>
      <w:r w:rsidR="00BC10E3" w:rsidRPr="00A82562">
        <w:rPr>
          <w:rFonts w:ascii="Verdana" w:hAnsi="Verdana"/>
          <w:color w:val="000000" w:themeColor="text1"/>
          <w:sz w:val="20"/>
          <w:szCs w:val="20"/>
          <w:lang w:val="en-GB"/>
        </w:rPr>
        <w:t>7</w:t>
      </w:r>
      <w:r w:rsidRPr="00A82562">
        <w:rPr>
          <w:rFonts w:ascii="Verdana" w:hAnsi="Verdana"/>
          <w:color w:val="000000" w:themeColor="text1"/>
          <w:sz w:val="20"/>
          <w:szCs w:val="20"/>
          <w:lang w:val="en-GB"/>
        </w:rPr>
        <w:t xml:space="preserve"> for representatives. A complete overview of attribute information for </w:t>
      </w:r>
      <w:r w:rsidR="00650930" w:rsidRPr="00A82562">
        <w:rPr>
          <w:rFonts w:ascii="Verdana" w:hAnsi="Verdana"/>
          <w:color w:val="000000" w:themeColor="text1"/>
          <w:sz w:val="20"/>
          <w:szCs w:val="20"/>
          <w:lang w:val="en-GB"/>
        </w:rPr>
        <w:t xml:space="preserve">high -and </w:t>
      </w:r>
      <w:r w:rsidRPr="00A82562">
        <w:rPr>
          <w:rFonts w:ascii="Verdana" w:hAnsi="Verdana"/>
          <w:color w:val="000000" w:themeColor="text1"/>
          <w:sz w:val="20"/>
          <w:szCs w:val="20"/>
          <w:lang w:val="en-GB"/>
        </w:rPr>
        <w:t xml:space="preserve">lower-quality studies is outlined in Additional file </w:t>
      </w:r>
      <w:r w:rsidR="00650930" w:rsidRPr="00A82562">
        <w:rPr>
          <w:rFonts w:ascii="Verdana" w:hAnsi="Verdana"/>
          <w:color w:val="000000" w:themeColor="text1"/>
          <w:sz w:val="20"/>
          <w:szCs w:val="20"/>
          <w:lang w:val="en-GB"/>
        </w:rPr>
        <w:t>5</w:t>
      </w:r>
      <w:r w:rsidRPr="00A82562">
        <w:rPr>
          <w:rFonts w:ascii="Verdana" w:hAnsi="Verdana"/>
          <w:color w:val="000000" w:themeColor="text1"/>
          <w:sz w:val="20"/>
          <w:szCs w:val="20"/>
          <w:lang w:val="en-GB"/>
        </w:rPr>
        <w:t>.</w:t>
      </w:r>
    </w:p>
    <w:p w:rsidR="00233761" w:rsidRPr="00A82562" w:rsidRDefault="00233761" w:rsidP="00C33AE3">
      <w:pPr>
        <w:spacing w:line="480" w:lineRule="auto"/>
        <w:rPr>
          <w:rFonts w:ascii="Verdana" w:hAnsi="Verdana"/>
          <w:color w:val="000000" w:themeColor="text1"/>
          <w:sz w:val="20"/>
          <w:szCs w:val="20"/>
          <w:lang w:val="en-GB"/>
        </w:rPr>
      </w:pPr>
    </w:p>
    <w:p w:rsidR="00233761" w:rsidRPr="00A82562" w:rsidRDefault="00233761" w:rsidP="00C33AE3">
      <w:pPr>
        <w:spacing w:line="480" w:lineRule="auto"/>
        <w:rPr>
          <w:rFonts w:ascii="Verdana" w:hAnsi="Verdana"/>
          <w:i/>
          <w:iCs/>
          <w:color w:val="000000" w:themeColor="text1"/>
          <w:sz w:val="20"/>
          <w:szCs w:val="20"/>
          <w:lang w:val="en-GB"/>
        </w:rPr>
      </w:pPr>
      <w:r w:rsidRPr="00A82562">
        <w:rPr>
          <w:rFonts w:ascii="Verdana" w:hAnsi="Verdana"/>
          <w:i/>
          <w:iCs/>
          <w:color w:val="000000" w:themeColor="text1"/>
          <w:sz w:val="20"/>
          <w:szCs w:val="20"/>
          <w:lang w:val="en-GB"/>
        </w:rPr>
        <w:t>Vaccinees</w:t>
      </w:r>
    </w:p>
    <w:p w:rsidR="00233761" w:rsidRPr="00A82562" w:rsidRDefault="00233761" w:rsidP="00C33AE3">
      <w:pPr>
        <w:spacing w:line="480" w:lineRule="auto"/>
        <w:rPr>
          <w:rFonts w:ascii="Verdana" w:hAnsi="Verdana"/>
          <w:color w:val="000000" w:themeColor="text1"/>
          <w:sz w:val="20"/>
          <w:szCs w:val="20"/>
          <w:lang w:val="en-GB"/>
        </w:rPr>
      </w:pPr>
      <w:r w:rsidRPr="00A82562">
        <w:rPr>
          <w:rFonts w:ascii="Verdana" w:hAnsi="Verdana"/>
          <w:color w:val="000000" w:themeColor="text1"/>
          <w:sz w:val="20"/>
          <w:szCs w:val="20"/>
          <w:lang w:val="en-GB"/>
        </w:rPr>
        <w:t>Studies targeting vaccinees distinguished 101 attributes along sixteen domains (Figure 1).</w:t>
      </w:r>
      <w:r w:rsidR="002F4E20" w:rsidRPr="00A82562">
        <w:rPr>
          <w:rFonts w:ascii="Verdana" w:hAnsi="Verdana"/>
          <w:color w:val="000000" w:themeColor="text1"/>
          <w:sz w:val="20"/>
          <w:szCs w:val="20"/>
          <w:lang w:val="en-GB"/>
        </w:rPr>
        <w:t xml:space="preserve"> Overall, 42.6%, 18.8%, 9.9% and 28.7% of the attributes were classified as outcome, process, cost and other, respectively. </w:t>
      </w:r>
      <w:r w:rsidRPr="00A82562">
        <w:rPr>
          <w:rFonts w:ascii="Verdana" w:hAnsi="Verdana"/>
          <w:color w:val="000000" w:themeColor="text1"/>
          <w:sz w:val="20"/>
          <w:szCs w:val="20"/>
          <w:lang w:val="en-GB"/>
        </w:rPr>
        <w:t>Compared to high-quality studies, three additional domains were identified: service delivery, vaccine administration, vaccine advice/suppor</w:t>
      </w:r>
      <w:r w:rsidR="00F34255" w:rsidRPr="00A82562">
        <w:rPr>
          <w:rFonts w:ascii="Verdana" w:hAnsi="Verdana"/>
          <w:color w:val="000000" w:themeColor="text1"/>
          <w:sz w:val="20"/>
          <w:szCs w:val="20"/>
          <w:lang w:val="en-GB"/>
        </w:rPr>
        <w:t>t</w:t>
      </w:r>
      <w:r w:rsidRPr="00A82562">
        <w:rPr>
          <w:rFonts w:ascii="Verdana" w:hAnsi="Verdana"/>
          <w:color w:val="000000" w:themeColor="text1"/>
          <w:sz w:val="20"/>
          <w:szCs w:val="20"/>
          <w:lang w:val="en-GB"/>
        </w:rPr>
        <w:t>.</w:t>
      </w:r>
      <w:r w:rsidR="00F34255" w:rsidRPr="00A82562">
        <w:rPr>
          <w:rFonts w:ascii="Verdana" w:hAnsi="Verdana"/>
          <w:color w:val="000000" w:themeColor="text1"/>
          <w:sz w:val="20"/>
          <w:szCs w:val="20"/>
          <w:lang w:val="en-GB"/>
        </w:rPr>
        <w:t xml:space="preserve"> These were classified as process and other.</w:t>
      </w:r>
      <w:r w:rsidRPr="00A82562">
        <w:rPr>
          <w:rFonts w:ascii="Verdana" w:hAnsi="Verdana"/>
          <w:color w:val="000000" w:themeColor="text1"/>
          <w:sz w:val="20"/>
          <w:szCs w:val="20"/>
          <w:lang w:val="en-GB"/>
        </w:rPr>
        <w:t xml:space="preserve"> Five of the six domains reported in high-quality studies were also incorporated in the overall top five (Additional file 6). Only dosing &amp; visits</w:t>
      </w:r>
      <w:r w:rsidR="00F34255" w:rsidRPr="00A82562">
        <w:rPr>
          <w:rFonts w:ascii="Verdana" w:hAnsi="Verdana"/>
          <w:color w:val="000000" w:themeColor="text1"/>
          <w:sz w:val="20"/>
          <w:szCs w:val="20"/>
          <w:lang w:val="en-GB"/>
        </w:rPr>
        <w:t xml:space="preserve"> (process)</w:t>
      </w:r>
      <w:r w:rsidRPr="00A82562">
        <w:rPr>
          <w:rFonts w:ascii="Verdana" w:hAnsi="Verdana"/>
          <w:color w:val="000000" w:themeColor="text1"/>
          <w:sz w:val="20"/>
          <w:szCs w:val="20"/>
          <w:lang w:val="en-GB"/>
        </w:rPr>
        <w:t xml:space="preserve"> was excluded as it decreased from 6.3% to 5.9%, towards rank 6. </w:t>
      </w:r>
      <w:r w:rsidR="00F34255" w:rsidRPr="00A82562">
        <w:rPr>
          <w:rFonts w:ascii="Verdana" w:hAnsi="Verdana"/>
          <w:color w:val="000000" w:themeColor="text1"/>
          <w:sz w:val="20"/>
          <w:szCs w:val="20"/>
          <w:lang w:val="en-GB"/>
        </w:rPr>
        <w:t>With regard to the outcome measures, v</w:t>
      </w:r>
      <w:r w:rsidRPr="00A82562">
        <w:rPr>
          <w:rFonts w:ascii="Verdana" w:hAnsi="Verdana"/>
          <w:color w:val="000000" w:themeColor="text1"/>
          <w:sz w:val="20"/>
          <w:szCs w:val="20"/>
          <w:lang w:val="en-GB"/>
        </w:rPr>
        <w:t xml:space="preserve">accine effectiveness and vaccine risk switched places, with vaccine risk now being most frequently reported. A remarkable change was the drop of the domain protection duration, which was previously reported in 12.5% of the studies and now decreased to 8.9% (from rank 3 to rank 5). Least reported domains were more or less the same among high- and lower-quality studies. </w:t>
      </w:r>
    </w:p>
    <w:p w:rsidR="00233761" w:rsidRPr="00A82562" w:rsidRDefault="00233761" w:rsidP="00C33AE3">
      <w:pPr>
        <w:spacing w:line="480" w:lineRule="auto"/>
        <w:ind w:firstLine="708"/>
        <w:rPr>
          <w:rFonts w:ascii="Verdana" w:hAnsi="Verdana"/>
          <w:color w:val="000000" w:themeColor="text1"/>
          <w:sz w:val="20"/>
          <w:szCs w:val="20"/>
          <w:lang w:val="en-GB"/>
        </w:rPr>
      </w:pPr>
      <w:r w:rsidRPr="00A82562">
        <w:rPr>
          <w:rFonts w:ascii="Verdana" w:hAnsi="Verdana"/>
          <w:color w:val="000000" w:themeColor="text1"/>
          <w:sz w:val="20"/>
          <w:szCs w:val="20"/>
          <w:lang w:val="en-GB"/>
        </w:rPr>
        <w:t xml:space="preserve">Sixteen studies targeting vaccinees reported relative statistical significance of attributes. Wang, Chen, Ratcliffe, Afzali, Giles &amp; Marshall [2] not assessed statistical significance but provided p-values based on which it could be determined (using p&lt;0.05). As shown in Table 1 of this file, </w:t>
      </w:r>
      <w:r w:rsidR="00B12842" w:rsidRPr="00A82562">
        <w:rPr>
          <w:rFonts w:ascii="Verdana" w:hAnsi="Verdana"/>
          <w:color w:val="000000" w:themeColor="text1"/>
          <w:sz w:val="20"/>
          <w:szCs w:val="20"/>
          <w:lang w:val="en-GB"/>
        </w:rPr>
        <w:t xml:space="preserve">outcome measures </w:t>
      </w:r>
      <w:r w:rsidRPr="00A82562">
        <w:rPr>
          <w:rFonts w:ascii="Verdana" w:hAnsi="Verdana"/>
          <w:color w:val="000000" w:themeColor="text1"/>
          <w:sz w:val="20"/>
          <w:szCs w:val="20"/>
          <w:lang w:val="en-GB"/>
        </w:rPr>
        <w:t>vaccine risk and vaccine effectiveness were most often statistically significant, which is in accordance with high-quality studies. The only inconsistency concerned disease risk</w:t>
      </w:r>
      <w:r w:rsidR="00B12842" w:rsidRPr="00A82562">
        <w:rPr>
          <w:rFonts w:ascii="Verdana" w:hAnsi="Verdana"/>
          <w:color w:val="000000" w:themeColor="text1"/>
          <w:sz w:val="20"/>
          <w:szCs w:val="20"/>
          <w:lang w:val="en-GB"/>
        </w:rPr>
        <w:t xml:space="preserve"> (other)</w:t>
      </w:r>
      <w:r w:rsidRPr="00A82562">
        <w:rPr>
          <w:rFonts w:ascii="Verdana" w:hAnsi="Verdana"/>
          <w:color w:val="000000" w:themeColor="text1"/>
          <w:sz w:val="20"/>
          <w:szCs w:val="20"/>
          <w:lang w:val="en-GB"/>
        </w:rPr>
        <w:t>. Whereas two high-</w:t>
      </w:r>
      <w:r w:rsidRPr="00A82562">
        <w:rPr>
          <w:rFonts w:ascii="Verdana" w:hAnsi="Verdana"/>
          <w:color w:val="000000" w:themeColor="text1"/>
          <w:sz w:val="20"/>
          <w:szCs w:val="20"/>
          <w:lang w:val="en-GB"/>
        </w:rPr>
        <w:lastRenderedPageBreak/>
        <w:t>quality studies reported it to be statistically significant (at p&lt;0.01 and p&lt;0.05), five lower-quality studies did so (p&lt;0.001-p&lt;0.05). This discrepancy could potentially be explained by the larger amount of lower-quality studies that incorporated one (or more) attribute(s) related to the risk of a disease (Figure 1; number of studies&lt;total in Table 1). In line with high-quality studies, time was not statistically significant in any of the studies. By incorporating lower-quality studies the domain target group was also considered to be insignificant.</w:t>
      </w:r>
    </w:p>
    <w:p w:rsidR="00491E89" w:rsidRPr="00A82562" w:rsidRDefault="00491E89" w:rsidP="00233761">
      <w:pPr>
        <w:spacing w:line="360" w:lineRule="auto"/>
        <w:rPr>
          <w:rFonts w:ascii="Verdana" w:hAnsi="Verdana"/>
          <w:i/>
          <w:iCs/>
          <w:color w:val="000000" w:themeColor="text1"/>
          <w:sz w:val="20"/>
          <w:szCs w:val="20"/>
          <w:lang w:val="en-GB"/>
        </w:rPr>
      </w:pPr>
    </w:p>
    <w:p w:rsidR="00491E89" w:rsidRPr="00A82562" w:rsidRDefault="00491E89" w:rsidP="00491E89">
      <w:pPr>
        <w:rPr>
          <w:rFonts w:ascii="Verdana" w:hAnsi="Verdana"/>
          <w:b/>
          <w:bCs/>
          <w:color w:val="000000" w:themeColor="text1"/>
          <w:sz w:val="20"/>
          <w:szCs w:val="20"/>
          <w:lang w:val="en-GB"/>
        </w:rPr>
      </w:pPr>
      <w:r w:rsidRPr="00A82562">
        <w:rPr>
          <w:rFonts w:ascii="Verdana" w:hAnsi="Verdana"/>
          <w:b/>
          <w:bCs/>
          <w:color w:val="000000" w:themeColor="text1"/>
          <w:sz w:val="18"/>
          <w:szCs w:val="18"/>
          <w:lang w:val="en-GB"/>
        </w:rPr>
        <w:t>Table 1</w:t>
      </w:r>
      <w:r w:rsidRPr="00A82562">
        <w:rPr>
          <w:rFonts w:ascii="Verdana" w:hAnsi="Verdana"/>
          <w:b/>
          <w:bCs/>
          <w:color w:val="000000" w:themeColor="text1"/>
          <w:sz w:val="20"/>
          <w:szCs w:val="20"/>
          <w:lang w:val="en-GB"/>
        </w:rPr>
        <w:t xml:space="preserve"> </w:t>
      </w:r>
      <w:r w:rsidRPr="00A82562">
        <w:rPr>
          <w:rFonts w:ascii="Verdana" w:hAnsi="Verdana"/>
          <w:b/>
          <w:bCs/>
          <w:color w:val="000000" w:themeColor="text1"/>
          <w:sz w:val="16"/>
          <w:szCs w:val="16"/>
          <w:lang w:val="en-GB"/>
        </w:rPr>
        <w:t>Overview of all studies reporting relative statistical significance of domains (vaccinees)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1"/>
        <w:gridCol w:w="872"/>
        <w:gridCol w:w="878"/>
        <w:gridCol w:w="873"/>
        <w:gridCol w:w="985"/>
        <w:gridCol w:w="670"/>
        <w:gridCol w:w="1538"/>
      </w:tblGrid>
      <w:tr w:rsidR="00A82562" w:rsidRPr="00A82562" w:rsidTr="00C65364">
        <w:tc>
          <w:tcPr>
            <w:tcW w:w="2831" w:type="dxa"/>
            <w:tcBorders>
              <w:top w:val="single" w:sz="4" w:space="0" w:color="auto"/>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Category &amp; domain (n=)*</w:t>
            </w:r>
          </w:p>
        </w:tc>
        <w:tc>
          <w:tcPr>
            <w:tcW w:w="5816" w:type="dxa"/>
            <w:gridSpan w:val="6"/>
            <w:tcBorders>
              <w:top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Statistical significance**</w:t>
            </w:r>
          </w:p>
        </w:tc>
      </w:tr>
      <w:tr w:rsidR="00A82562" w:rsidRPr="00A82562" w:rsidTr="00C65364">
        <w:tc>
          <w:tcPr>
            <w:tcW w:w="2831" w:type="dxa"/>
            <w:tcBorders>
              <w:bottom w:val="single" w:sz="4" w:space="0" w:color="auto"/>
              <w:right w:val="single" w:sz="4" w:space="0" w:color="auto"/>
            </w:tcBorders>
          </w:tcPr>
          <w:p w:rsidR="00491E89" w:rsidRPr="00A82562" w:rsidRDefault="00491E89" w:rsidP="00C65364">
            <w:pPr>
              <w:rPr>
                <w:rFonts w:ascii="Verdana" w:hAnsi="Verdana"/>
                <w:b/>
                <w:bCs/>
                <w:color w:val="000000" w:themeColor="text1"/>
                <w:sz w:val="16"/>
                <w:szCs w:val="16"/>
                <w:lang w:val="en-GB"/>
              </w:rPr>
            </w:pPr>
          </w:p>
        </w:tc>
        <w:tc>
          <w:tcPr>
            <w:tcW w:w="872" w:type="dxa"/>
            <w:tcBorders>
              <w:top w:val="single" w:sz="4" w:space="0" w:color="auto"/>
              <w:left w:val="single" w:sz="4" w:space="0" w:color="auto"/>
              <w:bottom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P&lt;0.10</w:t>
            </w:r>
          </w:p>
        </w:tc>
        <w:tc>
          <w:tcPr>
            <w:tcW w:w="878" w:type="dxa"/>
            <w:tcBorders>
              <w:top w:val="single" w:sz="4" w:space="0" w:color="auto"/>
              <w:bottom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P&lt;0.05</w:t>
            </w:r>
          </w:p>
        </w:tc>
        <w:tc>
          <w:tcPr>
            <w:tcW w:w="873" w:type="dxa"/>
            <w:tcBorders>
              <w:top w:val="single" w:sz="4" w:space="0" w:color="auto"/>
              <w:bottom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P&lt;0.01</w:t>
            </w:r>
          </w:p>
        </w:tc>
        <w:tc>
          <w:tcPr>
            <w:tcW w:w="985" w:type="dxa"/>
            <w:tcBorders>
              <w:top w:val="single" w:sz="4" w:space="0" w:color="auto"/>
              <w:bottom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P&lt;0.001</w:t>
            </w:r>
          </w:p>
        </w:tc>
        <w:tc>
          <w:tcPr>
            <w:tcW w:w="670" w:type="dxa"/>
            <w:tcBorders>
              <w:top w:val="single" w:sz="4" w:space="0" w:color="auto"/>
              <w:bottom w:val="single" w:sz="4" w:space="0" w:color="auto"/>
              <w:right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 xml:space="preserve">Total </w:t>
            </w:r>
          </w:p>
        </w:tc>
        <w:tc>
          <w:tcPr>
            <w:tcW w:w="1538" w:type="dxa"/>
            <w:tcBorders>
              <w:top w:val="single" w:sz="4" w:space="0" w:color="auto"/>
              <w:left w:val="single" w:sz="4" w:space="0" w:color="auto"/>
              <w:bottom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Not significant</w:t>
            </w:r>
          </w:p>
        </w:tc>
      </w:tr>
      <w:tr w:rsidR="00A82562" w:rsidRPr="00A82562" w:rsidTr="00C65364">
        <w:tc>
          <w:tcPr>
            <w:tcW w:w="2831" w:type="dxa"/>
            <w:tcBorders>
              <w:top w:val="single" w:sz="4" w:space="0" w:color="auto"/>
              <w:right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Outcome</w:t>
            </w:r>
          </w:p>
        </w:tc>
        <w:tc>
          <w:tcPr>
            <w:tcW w:w="872" w:type="dxa"/>
            <w:tcBorders>
              <w:top w:val="single" w:sz="4" w:space="0" w:color="auto"/>
              <w:left w:val="single" w:sz="4" w:space="0" w:color="auto"/>
            </w:tcBorders>
          </w:tcPr>
          <w:p w:rsidR="00491E89" w:rsidRPr="00A82562" w:rsidRDefault="00491E89" w:rsidP="00C65364">
            <w:pPr>
              <w:rPr>
                <w:rFonts w:ascii="Verdana" w:hAnsi="Verdana"/>
                <w:color w:val="000000" w:themeColor="text1"/>
                <w:sz w:val="16"/>
                <w:szCs w:val="16"/>
                <w:lang w:val="en-GB"/>
              </w:rPr>
            </w:pPr>
          </w:p>
        </w:tc>
        <w:tc>
          <w:tcPr>
            <w:tcW w:w="878" w:type="dxa"/>
            <w:tcBorders>
              <w:top w:val="single" w:sz="4" w:space="0" w:color="auto"/>
            </w:tcBorders>
          </w:tcPr>
          <w:p w:rsidR="00491E89" w:rsidRPr="00A82562" w:rsidRDefault="00491E89" w:rsidP="00C65364">
            <w:pPr>
              <w:rPr>
                <w:rFonts w:ascii="Verdana" w:hAnsi="Verdana"/>
                <w:color w:val="000000" w:themeColor="text1"/>
                <w:sz w:val="16"/>
                <w:szCs w:val="16"/>
                <w:lang w:val="en-GB"/>
              </w:rPr>
            </w:pPr>
          </w:p>
        </w:tc>
        <w:tc>
          <w:tcPr>
            <w:tcW w:w="873" w:type="dxa"/>
            <w:tcBorders>
              <w:top w:val="single" w:sz="4" w:space="0" w:color="auto"/>
            </w:tcBorders>
          </w:tcPr>
          <w:p w:rsidR="00491E89" w:rsidRPr="00A82562" w:rsidRDefault="00491E89" w:rsidP="00C65364">
            <w:pPr>
              <w:rPr>
                <w:rFonts w:ascii="Verdana" w:hAnsi="Verdana"/>
                <w:color w:val="000000" w:themeColor="text1"/>
                <w:sz w:val="16"/>
                <w:szCs w:val="16"/>
                <w:lang w:val="en-GB"/>
              </w:rPr>
            </w:pPr>
          </w:p>
        </w:tc>
        <w:tc>
          <w:tcPr>
            <w:tcW w:w="985" w:type="dxa"/>
            <w:tcBorders>
              <w:top w:val="single" w:sz="4" w:space="0" w:color="auto"/>
            </w:tcBorders>
          </w:tcPr>
          <w:p w:rsidR="00491E89" w:rsidRPr="00A82562" w:rsidRDefault="00491E89" w:rsidP="00C65364">
            <w:pPr>
              <w:rPr>
                <w:rFonts w:ascii="Verdana" w:hAnsi="Verdana"/>
                <w:color w:val="000000" w:themeColor="text1"/>
                <w:sz w:val="16"/>
                <w:szCs w:val="16"/>
                <w:lang w:val="en-GB"/>
              </w:rPr>
            </w:pPr>
          </w:p>
        </w:tc>
        <w:tc>
          <w:tcPr>
            <w:tcW w:w="670" w:type="dxa"/>
            <w:tcBorders>
              <w:top w:val="single" w:sz="4" w:space="0" w:color="auto"/>
              <w:right w:val="single" w:sz="4" w:space="0" w:color="auto"/>
            </w:tcBorders>
          </w:tcPr>
          <w:p w:rsidR="00491E89" w:rsidRPr="00A82562" w:rsidRDefault="00491E89" w:rsidP="00C65364">
            <w:pPr>
              <w:rPr>
                <w:rFonts w:ascii="Verdana" w:hAnsi="Verdana"/>
                <w:color w:val="000000" w:themeColor="text1"/>
                <w:sz w:val="16"/>
                <w:szCs w:val="16"/>
                <w:lang w:val="en-GB"/>
              </w:rPr>
            </w:pPr>
          </w:p>
        </w:tc>
        <w:tc>
          <w:tcPr>
            <w:tcW w:w="1538" w:type="dxa"/>
            <w:tcBorders>
              <w:top w:val="single" w:sz="4" w:space="0" w:color="auto"/>
              <w:left w:val="single" w:sz="4" w:space="0" w:color="auto"/>
            </w:tcBorders>
          </w:tcPr>
          <w:p w:rsidR="00491E89" w:rsidRPr="00A82562" w:rsidRDefault="00491E89" w:rsidP="00C65364">
            <w:pPr>
              <w:rPr>
                <w:rFonts w:ascii="Verdana" w:hAnsi="Verdana"/>
                <w:color w:val="000000" w:themeColor="text1"/>
                <w:sz w:val="16"/>
                <w:szCs w:val="16"/>
                <w:lang w:val="en-GB"/>
              </w:rPr>
            </w:pP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Protection duration (n=9)</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878"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5</w:t>
            </w:r>
          </w:p>
        </w:tc>
        <w:tc>
          <w:tcPr>
            <w:tcW w:w="873"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6</w:t>
            </w:r>
          </w:p>
        </w:tc>
        <w:tc>
          <w:tcPr>
            <w:tcW w:w="985"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12</w:t>
            </w: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Vaccine effectiveness (n=14)</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878"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7</w:t>
            </w:r>
          </w:p>
        </w:tc>
        <w:tc>
          <w:tcPr>
            <w:tcW w:w="873"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12</w:t>
            </w:r>
          </w:p>
        </w:tc>
        <w:tc>
          <w:tcPr>
            <w:tcW w:w="985"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20</w:t>
            </w: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Vaccine risk (n=14)</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878"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7</w:t>
            </w:r>
          </w:p>
        </w:tc>
        <w:tc>
          <w:tcPr>
            <w:tcW w:w="873"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12</w:t>
            </w:r>
          </w:p>
        </w:tc>
        <w:tc>
          <w:tcPr>
            <w:tcW w:w="985"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21</w:t>
            </w: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Process</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p>
        </w:tc>
        <w:tc>
          <w:tcPr>
            <w:tcW w:w="878" w:type="dxa"/>
          </w:tcPr>
          <w:p w:rsidR="00491E89" w:rsidRPr="00A82562" w:rsidRDefault="00491E89" w:rsidP="00C65364">
            <w:pPr>
              <w:rPr>
                <w:rFonts w:ascii="Verdana" w:hAnsi="Verdana"/>
                <w:color w:val="000000" w:themeColor="text1"/>
                <w:sz w:val="16"/>
                <w:szCs w:val="16"/>
                <w:lang w:val="en-GB"/>
              </w:rPr>
            </w:pPr>
          </w:p>
        </w:tc>
        <w:tc>
          <w:tcPr>
            <w:tcW w:w="873" w:type="dxa"/>
          </w:tcPr>
          <w:p w:rsidR="00491E89" w:rsidRPr="00A82562" w:rsidRDefault="00491E89" w:rsidP="00C65364">
            <w:pPr>
              <w:rPr>
                <w:rFonts w:ascii="Verdana" w:hAnsi="Verdana"/>
                <w:color w:val="000000" w:themeColor="text1"/>
                <w:sz w:val="16"/>
                <w:szCs w:val="16"/>
                <w:lang w:val="en-GB"/>
              </w:rPr>
            </w:pPr>
          </w:p>
        </w:tc>
        <w:tc>
          <w:tcPr>
            <w:tcW w:w="985" w:type="dxa"/>
          </w:tcPr>
          <w:p w:rsidR="00491E89" w:rsidRPr="00A82562" w:rsidRDefault="00491E89" w:rsidP="00C65364">
            <w:pPr>
              <w:rPr>
                <w:rFonts w:ascii="Verdana" w:hAnsi="Verdana"/>
                <w:color w:val="000000" w:themeColor="text1"/>
                <w:sz w:val="16"/>
                <w:szCs w:val="16"/>
                <w:lang w:val="en-GB"/>
              </w:rPr>
            </w:pP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Dosing &amp; visits (n=6)</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878"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3</w:t>
            </w:r>
          </w:p>
        </w:tc>
        <w:tc>
          <w:tcPr>
            <w:tcW w:w="873"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3</w:t>
            </w:r>
          </w:p>
        </w:tc>
        <w:tc>
          <w:tcPr>
            <w:tcW w:w="985"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7</w:t>
            </w: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Service delivery (n=3)</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878"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4</w:t>
            </w:r>
          </w:p>
        </w:tc>
        <w:tc>
          <w:tcPr>
            <w:tcW w:w="873"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85"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4</w:t>
            </w: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Target group (n=1)</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878"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873"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85"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Time (n=2)</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878"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873"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85"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Vaccination age (n=2)</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878"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873"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c>
          <w:tcPr>
            <w:tcW w:w="985"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3</w:t>
            </w: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Vaccine accessibility (n=3)</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878"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c>
          <w:tcPr>
            <w:tcW w:w="873"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85"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Vaccine administration (n=1)</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878"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873"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85"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Cost</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p>
        </w:tc>
        <w:tc>
          <w:tcPr>
            <w:tcW w:w="878" w:type="dxa"/>
          </w:tcPr>
          <w:p w:rsidR="00491E89" w:rsidRPr="00A82562" w:rsidRDefault="00491E89" w:rsidP="00C65364">
            <w:pPr>
              <w:rPr>
                <w:rFonts w:ascii="Verdana" w:hAnsi="Verdana"/>
                <w:color w:val="000000" w:themeColor="text1"/>
                <w:sz w:val="16"/>
                <w:szCs w:val="16"/>
                <w:lang w:val="en-GB"/>
              </w:rPr>
            </w:pPr>
          </w:p>
        </w:tc>
        <w:tc>
          <w:tcPr>
            <w:tcW w:w="873" w:type="dxa"/>
          </w:tcPr>
          <w:p w:rsidR="00491E89" w:rsidRPr="00A82562" w:rsidRDefault="00491E89" w:rsidP="00C65364">
            <w:pPr>
              <w:rPr>
                <w:rFonts w:ascii="Verdana" w:hAnsi="Verdana"/>
                <w:color w:val="000000" w:themeColor="text1"/>
                <w:sz w:val="16"/>
                <w:szCs w:val="16"/>
                <w:lang w:val="en-GB"/>
              </w:rPr>
            </w:pPr>
          </w:p>
        </w:tc>
        <w:tc>
          <w:tcPr>
            <w:tcW w:w="985" w:type="dxa"/>
          </w:tcPr>
          <w:p w:rsidR="00491E89" w:rsidRPr="00A82562" w:rsidRDefault="00491E89" w:rsidP="00C65364">
            <w:pPr>
              <w:rPr>
                <w:rFonts w:ascii="Verdana" w:hAnsi="Verdana"/>
                <w:color w:val="000000" w:themeColor="text1"/>
                <w:sz w:val="16"/>
                <w:szCs w:val="16"/>
                <w:lang w:val="en-GB"/>
              </w:rPr>
            </w:pP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Cost (n=10)</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878"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4</w:t>
            </w:r>
          </w:p>
        </w:tc>
        <w:tc>
          <w:tcPr>
            <w:tcW w:w="873"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4</w:t>
            </w:r>
          </w:p>
        </w:tc>
        <w:tc>
          <w:tcPr>
            <w:tcW w:w="985"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9</w:t>
            </w: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Other</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p>
        </w:tc>
        <w:tc>
          <w:tcPr>
            <w:tcW w:w="878" w:type="dxa"/>
          </w:tcPr>
          <w:p w:rsidR="00491E89" w:rsidRPr="00A82562" w:rsidRDefault="00491E89" w:rsidP="00C65364">
            <w:pPr>
              <w:rPr>
                <w:rFonts w:ascii="Verdana" w:hAnsi="Verdana"/>
                <w:color w:val="000000" w:themeColor="text1"/>
                <w:sz w:val="16"/>
                <w:szCs w:val="16"/>
                <w:lang w:val="en-GB"/>
              </w:rPr>
            </w:pPr>
          </w:p>
        </w:tc>
        <w:tc>
          <w:tcPr>
            <w:tcW w:w="873" w:type="dxa"/>
          </w:tcPr>
          <w:p w:rsidR="00491E89" w:rsidRPr="00A82562" w:rsidRDefault="00491E89" w:rsidP="00C65364">
            <w:pPr>
              <w:rPr>
                <w:rFonts w:ascii="Verdana" w:hAnsi="Verdana"/>
                <w:color w:val="000000" w:themeColor="text1"/>
                <w:sz w:val="16"/>
                <w:szCs w:val="16"/>
                <w:lang w:val="en-GB"/>
              </w:rPr>
            </w:pPr>
          </w:p>
        </w:tc>
        <w:tc>
          <w:tcPr>
            <w:tcW w:w="985" w:type="dxa"/>
          </w:tcPr>
          <w:p w:rsidR="00491E89" w:rsidRPr="00A82562" w:rsidRDefault="00491E89" w:rsidP="00C65364">
            <w:pPr>
              <w:rPr>
                <w:rFonts w:ascii="Verdana" w:hAnsi="Verdana"/>
                <w:color w:val="000000" w:themeColor="text1"/>
                <w:sz w:val="16"/>
                <w:szCs w:val="16"/>
                <w:lang w:val="en-GB"/>
              </w:rPr>
            </w:pP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Context (n=4)</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878"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5</w:t>
            </w:r>
          </w:p>
        </w:tc>
        <w:tc>
          <w:tcPr>
            <w:tcW w:w="873"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85"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6</w:t>
            </w: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Disease risk (n=7)</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878"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5</w:t>
            </w:r>
          </w:p>
        </w:tc>
        <w:tc>
          <w:tcPr>
            <w:tcW w:w="873"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4</w:t>
            </w:r>
          </w:p>
        </w:tc>
        <w:tc>
          <w:tcPr>
            <w:tcW w:w="985"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11</w:t>
            </w: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Information (n=4)</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878"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8</w:t>
            </w:r>
          </w:p>
        </w:tc>
        <w:tc>
          <w:tcPr>
            <w:tcW w:w="873"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85"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9</w:t>
            </w: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r>
      <w:tr w:rsidR="00A82562" w:rsidRPr="00A82562" w:rsidTr="00C65364">
        <w:tc>
          <w:tcPr>
            <w:tcW w:w="2831"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Other dis. rel. factors (n=2)</w:t>
            </w:r>
          </w:p>
        </w:tc>
        <w:tc>
          <w:tcPr>
            <w:tcW w:w="872"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878"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873"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85"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67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1538"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r>
      <w:tr w:rsidR="00A82562" w:rsidRPr="00A82562" w:rsidTr="00C65364">
        <w:tc>
          <w:tcPr>
            <w:tcW w:w="2831" w:type="dxa"/>
            <w:tcBorders>
              <w:bottom w:val="single" w:sz="4" w:space="0" w:color="auto"/>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Vaccine advice/support (n=4)</w:t>
            </w:r>
          </w:p>
        </w:tc>
        <w:tc>
          <w:tcPr>
            <w:tcW w:w="872" w:type="dxa"/>
            <w:tcBorders>
              <w:left w:val="single" w:sz="4" w:space="0" w:color="auto"/>
              <w:bottom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878" w:type="dxa"/>
            <w:tcBorders>
              <w:bottom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c>
          <w:tcPr>
            <w:tcW w:w="873" w:type="dxa"/>
            <w:tcBorders>
              <w:bottom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4</w:t>
            </w:r>
          </w:p>
        </w:tc>
        <w:tc>
          <w:tcPr>
            <w:tcW w:w="985" w:type="dxa"/>
            <w:tcBorders>
              <w:bottom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670" w:type="dxa"/>
            <w:tcBorders>
              <w:bottom w:val="single" w:sz="4" w:space="0" w:color="auto"/>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8</w:t>
            </w:r>
          </w:p>
        </w:tc>
        <w:tc>
          <w:tcPr>
            <w:tcW w:w="1538" w:type="dxa"/>
            <w:tcBorders>
              <w:left w:val="single" w:sz="4" w:space="0" w:color="auto"/>
              <w:bottom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r>
    </w:tbl>
    <w:p w:rsidR="00491E89" w:rsidRPr="00A82562" w:rsidRDefault="00491E89" w:rsidP="00491E89">
      <w:pPr>
        <w:rPr>
          <w:rFonts w:ascii="Verdana" w:hAnsi="Verdana"/>
          <w:color w:val="000000" w:themeColor="text1"/>
          <w:sz w:val="16"/>
          <w:szCs w:val="16"/>
          <w:lang w:val="en-GB"/>
        </w:rPr>
      </w:pPr>
      <w:r w:rsidRPr="00A82562">
        <w:rPr>
          <w:rFonts w:ascii="Verdana" w:hAnsi="Verdana"/>
          <w:color w:val="000000" w:themeColor="text1"/>
          <w:sz w:val="16"/>
          <w:szCs w:val="16"/>
          <w:lang w:val="en-GB"/>
        </w:rPr>
        <w:t>*n=number of studies reporting domains. 17/18 studies reported statistical significance and/or attribute p-values; **</w:t>
      </w:r>
      <w:r w:rsidRPr="00A82562">
        <w:rPr>
          <w:rFonts w:ascii="Verdana" w:hAnsi="Verdana"/>
          <w:i/>
          <w:iCs/>
          <w:color w:val="000000" w:themeColor="text1"/>
          <w:sz w:val="16"/>
          <w:szCs w:val="16"/>
          <w:lang w:val="en-GB"/>
        </w:rPr>
        <w:t xml:space="preserve"> Information is based on main models and pooled data when available (if not, data of separate models/classes was used). Some studies included more than one attribute related to a particular domain. </w:t>
      </w:r>
    </w:p>
    <w:p w:rsidR="00491E89" w:rsidRPr="00A82562" w:rsidRDefault="00491E89" w:rsidP="00491E89">
      <w:pPr>
        <w:rPr>
          <w:rFonts w:ascii="Verdana" w:hAnsi="Verdana"/>
          <w:color w:val="000000" w:themeColor="text1"/>
          <w:sz w:val="16"/>
          <w:szCs w:val="16"/>
          <w:lang w:val="en-GB"/>
        </w:rPr>
      </w:pPr>
      <w:r w:rsidRPr="00A82562">
        <w:rPr>
          <w:rFonts w:ascii="Verdana" w:hAnsi="Verdana"/>
          <w:i/>
          <w:iCs/>
          <w:color w:val="000000" w:themeColor="text1"/>
          <w:sz w:val="16"/>
          <w:szCs w:val="16"/>
          <w:lang w:val="en-GB"/>
        </w:rPr>
        <w:t>Totals could hence exceed the total number of studies incorporated.</w:t>
      </w:r>
    </w:p>
    <w:p w:rsidR="001C1A92" w:rsidRPr="00A82562" w:rsidRDefault="001C1A92" w:rsidP="00233761">
      <w:pPr>
        <w:spacing w:line="360" w:lineRule="auto"/>
        <w:rPr>
          <w:rFonts w:ascii="Verdana" w:hAnsi="Verdana"/>
          <w:i/>
          <w:iCs/>
          <w:color w:val="000000" w:themeColor="text1"/>
          <w:sz w:val="20"/>
          <w:szCs w:val="20"/>
          <w:lang w:val="en-GB"/>
        </w:rPr>
      </w:pPr>
    </w:p>
    <w:p w:rsidR="00233761" w:rsidRPr="00A82562" w:rsidRDefault="00233761" w:rsidP="00823E4F">
      <w:pPr>
        <w:spacing w:line="480" w:lineRule="auto"/>
        <w:rPr>
          <w:rFonts w:ascii="Verdana" w:hAnsi="Verdana"/>
          <w:i/>
          <w:iCs/>
          <w:color w:val="000000" w:themeColor="text1"/>
          <w:sz w:val="20"/>
          <w:szCs w:val="20"/>
          <w:lang w:val="en-GB"/>
        </w:rPr>
      </w:pPr>
      <w:r w:rsidRPr="00A82562">
        <w:rPr>
          <w:rFonts w:ascii="Verdana" w:hAnsi="Verdana"/>
          <w:i/>
          <w:iCs/>
          <w:color w:val="000000" w:themeColor="text1"/>
          <w:sz w:val="20"/>
          <w:szCs w:val="20"/>
          <w:lang w:val="en-GB"/>
        </w:rPr>
        <w:t xml:space="preserve">Representatives </w:t>
      </w:r>
    </w:p>
    <w:p w:rsidR="00187835" w:rsidRPr="00A82562" w:rsidRDefault="00233761" w:rsidP="00823E4F">
      <w:pPr>
        <w:spacing w:line="480" w:lineRule="auto"/>
        <w:rPr>
          <w:rFonts w:ascii="Verdana" w:hAnsi="Verdana"/>
          <w:color w:val="000000" w:themeColor="text1"/>
          <w:sz w:val="20"/>
          <w:szCs w:val="20"/>
          <w:lang w:val="en-GB"/>
        </w:rPr>
      </w:pPr>
      <w:r w:rsidRPr="00A82562">
        <w:rPr>
          <w:rFonts w:ascii="Verdana" w:hAnsi="Verdana"/>
          <w:color w:val="000000" w:themeColor="text1"/>
          <w:sz w:val="20"/>
          <w:szCs w:val="20"/>
          <w:lang w:val="en-GB"/>
        </w:rPr>
        <w:t>A total of 1</w:t>
      </w:r>
      <w:r w:rsidR="00375C9C" w:rsidRPr="00A82562">
        <w:rPr>
          <w:rFonts w:ascii="Verdana" w:hAnsi="Verdana"/>
          <w:color w:val="000000" w:themeColor="text1"/>
          <w:sz w:val="20"/>
          <w:szCs w:val="20"/>
          <w:lang w:val="en-GB"/>
        </w:rPr>
        <w:t>42</w:t>
      </w:r>
      <w:r w:rsidRPr="00A82562">
        <w:rPr>
          <w:rFonts w:ascii="Verdana" w:hAnsi="Verdana"/>
          <w:color w:val="000000" w:themeColor="text1"/>
          <w:sz w:val="20"/>
          <w:szCs w:val="20"/>
          <w:lang w:val="en-GB"/>
        </w:rPr>
        <w:t xml:space="preserve"> attributes were used among all studies capturing preferences of representatives. </w:t>
      </w:r>
      <w:r w:rsidR="002F4E20" w:rsidRPr="00A82562">
        <w:rPr>
          <w:rFonts w:ascii="Verdana" w:hAnsi="Verdana"/>
          <w:color w:val="000000" w:themeColor="text1"/>
          <w:sz w:val="20"/>
          <w:szCs w:val="20"/>
          <w:lang w:val="en-GB"/>
        </w:rPr>
        <w:t>Of these attributes, 3</w:t>
      </w:r>
      <w:r w:rsidR="00D04396" w:rsidRPr="00A82562">
        <w:rPr>
          <w:rFonts w:ascii="Verdana" w:hAnsi="Verdana"/>
          <w:color w:val="000000" w:themeColor="text1"/>
          <w:sz w:val="20"/>
          <w:szCs w:val="20"/>
          <w:lang w:val="en-GB"/>
        </w:rPr>
        <w:t>6</w:t>
      </w:r>
      <w:r w:rsidR="002F4E20" w:rsidRPr="00A82562">
        <w:rPr>
          <w:rFonts w:ascii="Verdana" w:hAnsi="Verdana"/>
          <w:color w:val="000000" w:themeColor="text1"/>
          <w:sz w:val="20"/>
          <w:szCs w:val="20"/>
          <w:lang w:val="en-GB"/>
        </w:rPr>
        <w:t>.</w:t>
      </w:r>
      <w:r w:rsidR="00D04396" w:rsidRPr="00A82562">
        <w:rPr>
          <w:rFonts w:ascii="Verdana" w:hAnsi="Verdana"/>
          <w:color w:val="000000" w:themeColor="text1"/>
          <w:sz w:val="20"/>
          <w:szCs w:val="20"/>
          <w:lang w:val="en-GB"/>
        </w:rPr>
        <w:t>6</w:t>
      </w:r>
      <w:r w:rsidR="002F4E20" w:rsidRPr="00A82562">
        <w:rPr>
          <w:rFonts w:ascii="Verdana" w:hAnsi="Verdana"/>
          <w:color w:val="000000" w:themeColor="text1"/>
          <w:sz w:val="20"/>
          <w:szCs w:val="20"/>
          <w:lang w:val="en-GB"/>
        </w:rPr>
        <w:t>% were classified as outcome, 2</w:t>
      </w:r>
      <w:r w:rsidR="00D04396" w:rsidRPr="00A82562">
        <w:rPr>
          <w:rFonts w:ascii="Verdana" w:hAnsi="Verdana"/>
          <w:color w:val="000000" w:themeColor="text1"/>
          <w:sz w:val="20"/>
          <w:szCs w:val="20"/>
          <w:lang w:val="en-GB"/>
        </w:rPr>
        <w:t>8.2</w:t>
      </w:r>
      <w:r w:rsidR="002F4E20" w:rsidRPr="00A82562">
        <w:rPr>
          <w:rFonts w:ascii="Verdana" w:hAnsi="Verdana"/>
          <w:color w:val="000000" w:themeColor="text1"/>
          <w:sz w:val="20"/>
          <w:szCs w:val="20"/>
          <w:lang w:val="en-GB"/>
        </w:rPr>
        <w:t>% as process, 1</w:t>
      </w:r>
      <w:r w:rsidR="00D04396" w:rsidRPr="00A82562">
        <w:rPr>
          <w:rFonts w:ascii="Verdana" w:hAnsi="Verdana"/>
          <w:color w:val="000000" w:themeColor="text1"/>
          <w:sz w:val="20"/>
          <w:szCs w:val="20"/>
          <w:lang w:val="en-GB"/>
        </w:rPr>
        <w:t>4</w:t>
      </w:r>
      <w:r w:rsidR="002F4E20" w:rsidRPr="00A82562">
        <w:rPr>
          <w:rFonts w:ascii="Verdana" w:hAnsi="Verdana"/>
          <w:color w:val="000000" w:themeColor="text1"/>
          <w:sz w:val="20"/>
          <w:szCs w:val="20"/>
          <w:lang w:val="en-GB"/>
        </w:rPr>
        <w:t>.8% as cost and 2</w:t>
      </w:r>
      <w:r w:rsidR="00D04396" w:rsidRPr="00A82562">
        <w:rPr>
          <w:rFonts w:ascii="Verdana" w:hAnsi="Verdana"/>
          <w:color w:val="000000" w:themeColor="text1"/>
          <w:sz w:val="20"/>
          <w:szCs w:val="20"/>
          <w:lang w:val="en-GB"/>
        </w:rPr>
        <w:t>0</w:t>
      </w:r>
      <w:r w:rsidR="002F4E20" w:rsidRPr="00A82562">
        <w:rPr>
          <w:rFonts w:ascii="Verdana" w:hAnsi="Verdana"/>
          <w:color w:val="000000" w:themeColor="text1"/>
          <w:sz w:val="20"/>
          <w:szCs w:val="20"/>
          <w:lang w:val="en-GB"/>
        </w:rPr>
        <w:t>.</w:t>
      </w:r>
      <w:r w:rsidR="00D04396" w:rsidRPr="00A82562">
        <w:rPr>
          <w:rFonts w:ascii="Verdana" w:hAnsi="Verdana"/>
          <w:color w:val="000000" w:themeColor="text1"/>
          <w:sz w:val="20"/>
          <w:szCs w:val="20"/>
          <w:lang w:val="en-GB"/>
        </w:rPr>
        <w:t>4</w:t>
      </w:r>
      <w:r w:rsidR="002F4E20" w:rsidRPr="00A82562">
        <w:rPr>
          <w:rFonts w:ascii="Verdana" w:hAnsi="Verdana"/>
          <w:color w:val="000000" w:themeColor="text1"/>
          <w:sz w:val="20"/>
          <w:szCs w:val="20"/>
          <w:lang w:val="en-GB"/>
        </w:rPr>
        <w:t xml:space="preserve">% as other. </w:t>
      </w:r>
      <w:r w:rsidRPr="00A82562">
        <w:rPr>
          <w:rFonts w:ascii="Verdana" w:hAnsi="Verdana"/>
          <w:color w:val="000000" w:themeColor="text1"/>
          <w:sz w:val="20"/>
          <w:szCs w:val="20"/>
          <w:lang w:val="en-GB"/>
        </w:rPr>
        <w:t xml:space="preserve">Attributes covered eighteen domains, implying that three domains were added. These domains were ‘vaccine advice/support’, ‘vaccine content’ and ‘other’. The latter included attributes that could not be grouped under the other seventeen domains (e.g. vaccine testing). Four of the five most frequently reported domains were in line with high-quality studies (Figure 1). Despite this correspondence at first glance, the inclusion of lower-quality studies changed the </w:t>
      </w:r>
      <w:r w:rsidRPr="00A82562">
        <w:rPr>
          <w:rFonts w:ascii="Verdana" w:hAnsi="Verdana"/>
          <w:color w:val="000000" w:themeColor="text1"/>
          <w:sz w:val="20"/>
          <w:szCs w:val="20"/>
          <w:lang w:val="en-GB"/>
        </w:rPr>
        <w:lastRenderedPageBreak/>
        <w:t xml:space="preserve">sequence and proportion of studies reporting particular domains. Vaccine effectiveness decreased for instance with </w:t>
      </w:r>
      <w:r w:rsidR="006373FC" w:rsidRPr="00A82562">
        <w:rPr>
          <w:rFonts w:ascii="Verdana" w:hAnsi="Verdana"/>
          <w:color w:val="000000" w:themeColor="text1"/>
          <w:sz w:val="20"/>
          <w:szCs w:val="20"/>
          <w:lang w:val="en-GB"/>
        </w:rPr>
        <w:t>4</w:t>
      </w:r>
      <w:r w:rsidRPr="00A82562">
        <w:rPr>
          <w:rFonts w:ascii="Verdana" w:hAnsi="Verdana"/>
          <w:color w:val="000000" w:themeColor="text1"/>
          <w:sz w:val="20"/>
          <w:szCs w:val="20"/>
          <w:lang w:val="en-GB"/>
        </w:rPr>
        <w:t>.</w:t>
      </w:r>
      <w:r w:rsidR="006373FC" w:rsidRPr="00A82562">
        <w:rPr>
          <w:rFonts w:ascii="Verdana" w:hAnsi="Verdana"/>
          <w:color w:val="000000" w:themeColor="text1"/>
          <w:sz w:val="20"/>
          <w:szCs w:val="20"/>
          <w:lang w:val="en-GB"/>
        </w:rPr>
        <w:t>0</w:t>
      </w:r>
      <w:r w:rsidRPr="00A82562">
        <w:rPr>
          <w:rFonts w:ascii="Verdana" w:hAnsi="Verdana"/>
          <w:color w:val="000000" w:themeColor="text1"/>
          <w:sz w:val="20"/>
          <w:szCs w:val="20"/>
          <w:lang w:val="en-GB"/>
        </w:rPr>
        <w:t xml:space="preserve">% and was not most commonly reported anymore (i.e. dropped from rank 1 to </w:t>
      </w:r>
      <w:r w:rsidR="00375C9C" w:rsidRPr="00A82562">
        <w:rPr>
          <w:rFonts w:ascii="Verdana" w:hAnsi="Verdana"/>
          <w:color w:val="000000" w:themeColor="text1"/>
          <w:sz w:val="20"/>
          <w:szCs w:val="20"/>
          <w:lang w:val="en-GB"/>
        </w:rPr>
        <w:t>2</w:t>
      </w:r>
      <w:r w:rsidRPr="00A82562">
        <w:rPr>
          <w:rFonts w:ascii="Verdana" w:hAnsi="Verdana"/>
          <w:color w:val="000000" w:themeColor="text1"/>
          <w:sz w:val="20"/>
          <w:szCs w:val="20"/>
          <w:lang w:val="en-GB"/>
        </w:rPr>
        <w:t>). Instead</w:t>
      </w:r>
      <w:r w:rsidR="00187835" w:rsidRPr="00A82562">
        <w:rPr>
          <w:rFonts w:ascii="Verdana" w:hAnsi="Verdana"/>
          <w:color w:val="000000" w:themeColor="text1"/>
          <w:sz w:val="20"/>
          <w:szCs w:val="20"/>
          <w:lang w:val="en-GB"/>
        </w:rPr>
        <w:t xml:space="preserve"> another outcome-related measure, vaccine risk, was</w:t>
      </w:r>
    </w:p>
    <w:p w:rsidR="00233761" w:rsidRPr="00A82562" w:rsidRDefault="00233761" w:rsidP="00823E4F">
      <w:pPr>
        <w:spacing w:line="480" w:lineRule="auto"/>
        <w:rPr>
          <w:rFonts w:ascii="Verdana" w:hAnsi="Verdana"/>
          <w:color w:val="000000" w:themeColor="text1"/>
          <w:sz w:val="20"/>
          <w:szCs w:val="20"/>
          <w:lang w:val="en-GB"/>
        </w:rPr>
      </w:pPr>
      <w:r w:rsidRPr="00A82562">
        <w:rPr>
          <w:rFonts w:ascii="Verdana" w:hAnsi="Verdana"/>
          <w:color w:val="000000" w:themeColor="text1"/>
          <w:sz w:val="20"/>
          <w:szCs w:val="20"/>
          <w:lang w:val="en-GB"/>
        </w:rPr>
        <w:t>most often used</w:t>
      </w:r>
      <w:r w:rsidR="006373FC" w:rsidRPr="00A82562">
        <w:rPr>
          <w:rFonts w:ascii="Verdana" w:hAnsi="Verdana"/>
          <w:color w:val="000000" w:themeColor="text1"/>
          <w:sz w:val="20"/>
          <w:szCs w:val="20"/>
          <w:lang w:val="en-GB"/>
        </w:rPr>
        <w:t xml:space="preserve">. </w:t>
      </w:r>
      <w:r w:rsidRPr="00A82562">
        <w:rPr>
          <w:rFonts w:ascii="Verdana" w:hAnsi="Verdana"/>
          <w:color w:val="000000" w:themeColor="text1"/>
          <w:sz w:val="20"/>
          <w:szCs w:val="20"/>
          <w:lang w:val="en-GB"/>
        </w:rPr>
        <w:t>Th</w:t>
      </w:r>
      <w:r w:rsidR="006373FC" w:rsidRPr="00A82562">
        <w:rPr>
          <w:rFonts w:ascii="Verdana" w:hAnsi="Verdana"/>
          <w:color w:val="000000" w:themeColor="text1"/>
          <w:sz w:val="20"/>
          <w:szCs w:val="20"/>
          <w:lang w:val="en-GB"/>
        </w:rPr>
        <w:t>e</w:t>
      </w:r>
      <w:r w:rsidRPr="00A82562">
        <w:rPr>
          <w:rFonts w:ascii="Verdana" w:hAnsi="Verdana"/>
          <w:color w:val="000000" w:themeColor="text1"/>
          <w:sz w:val="20"/>
          <w:szCs w:val="20"/>
          <w:lang w:val="en-GB"/>
        </w:rPr>
        <w:t xml:space="preserve"> proportion of studies reporting </w:t>
      </w:r>
      <w:r w:rsidR="006373FC" w:rsidRPr="00A82562">
        <w:rPr>
          <w:rFonts w:ascii="Verdana" w:hAnsi="Verdana"/>
          <w:color w:val="000000" w:themeColor="text1"/>
          <w:sz w:val="20"/>
          <w:szCs w:val="20"/>
          <w:lang w:val="en-GB"/>
        </w:rPr>
        <w:t>this domain</w:t>
      </w:r>
      <w:r w:rsidRPr="00A82562">
        <w:rPr>
          <w:rFonts w:ascii="Verdana" w:hAnsi="Verdana"/>
          <w:color w:val="000000" w:themeColor="text1"/>
          <w:sz w:val="20"/>
          <w:szCs w:val="20"/>
          <w:lang w:val="en-GB"/>
        </w:rPr>
        <w:t xml:space="preserve"> increased with more than 50%</w:t>
      </w:r>
      <w:r w:rsidR="006373FC" w:rsidRPr="00A82562">
        <w:rPr>
          <w:rFonts w:ascii="Verdana" w:hAnsi="Verdana"/>
          <w:color w:val="000000" w:themeColor="text1"/>
          <w:sz w:val="20"/>
          <w:szCs w:val="20"/>
          <w:lang w:val="en-GB"/>
        </w:rPr>
        <w:t xml:space="preserve">, which resulted in a rise </w:t>
      </w:r>
      <w:r w:rsidRPr="00A82562">
        <w:rPr>
          <w:rFonts w:ascii="Verdana" w:hAnsi="Verdana"/>
          <w:color w:val="000000" w:themeColor="text1"/>
          <w:sz w:val="20"/>
          <w:szCs w:val="20"/>
          <w:lang w:val="en-GB"/>
        </w:rPr>
        <w:t xml:space="preserve">from rank 4 to rank 1 (Additional file 6). This shift was partly due to conceptual overlap among attributes, as reported in the validity assessment. To illustrate this, </w:t>
      </w:r>
      <w:r w:rsidR="006373FC" w:rsidRPr="00A82562">
        <w:rPr>
          <w:rFonts w:ascii="Verdana" w:hAnsi="Verdana"/>
          <w:color w:val="000000" w:themeColor="text1"/>
          <w:sz w:val="20"/>
          <w:szCs w:val="20"/>
          <w:lang w:val="en-GB"/>
        </w:rPr>
        <w:t>four</w:t>
      </w:r>
      <w:r w:rsidRPr="00A82562">
        <w:rPr>
          <w:rFonts w:ascii="Verdana" w:hAnsi="Verdana"/>
          <w:color w:val="000000" w:themeColor="text1"/>
          <w:sz w:val="20"/>
          <w:szCs w:val="20"/>
          <w:lang w:val="en-GB"/>
        </w:rPr>
        <w:t xml:space="preserve"> lower-quality studies included more than one risk-related attribute, while none high-quality study did so. In addition, risk-related attributes in lower-quality studies encompassed the risk of side effects as well as risks of dosing and handling. With respect to vaccine effectiveness, lower-quality studies also broadened the range of definitions and defined vaccine effectiveness for instance as ‘the number of serogroups of the bacteria covered’ and ‘cervical cancer risk reduction’. High-quality studies mainly adhered to ‘vaccine effectiveness’ or ‘efficacy’. Despite these inconsistencies between high- and lower-quality studies, the least reported domains were generally comparable between both. </w:t>
      </w:r>
    </w:p>
    <w:p w:rsidR="00233761" w:rsidRPr="00A82562" w:rsidRDefault="00233761" w:rsidP="00823E4F">
      <w:pPr>
        <w:spacing w:line="480" w:lineRule="auto"/>
        <w:ind w:firstLine="708"/>
        <w:rPr>
          <w:rFonts w:ascii="Verdana" w:hAnsi="Verdana"/>
          <w:color w:val="000000" w:themeColor="text1"/>
          <w:sz w:val="20"/>
          <w:szCs w:val="20"/>
          <w:lang w:val="en-GB"/>
        </w:rPr>
      </w:pPr>
      <w:r w:rsidRPr="00A82562">
        <w:rPr>
          <w:rFonts w:ascii="Verdana" w:hAnsi="Verdana"/>
          <w:color w:val="000000" w:themeColor="text1"/>
          <w:sz w:val="20"/>
          <w:szCs w:val="20"/>
          <w:lang w:val="en-GB"/>
        </w:rPr>
        <w:t xml:space="preserve">In total, </w:t>
      </w:r>
      <w:r w:rsidR="00A23881" w:rsidRPr="00A82562">
        <w:rPr>
          <w:rFonts w:ascii="Verdana" w:hAnsi="Verdana"/>
          <w:color w:val="000000" w:themeColor="text1"/>
          <w:sz w:val="20"/>
          <w:szCs w:val="20"/>
          <w:lang w:val="en-GB"/>
        </w:rPr>
        <w:t>21</w:t>
      </w:r>
      <w:r w:rsidRPr="00A82562">
        <w:rPr>
          <w:rFonts w:ascii="Verdana" w:hAnsi="Verdana"/>
          <w:color w:val="000000" w:themeColor="text1"/>
          <w:sz w:val="20"/>
          <w:szCs w:val="20"/>
          <w:lang w:val="en-GB"/>
        </w:rPr>
        <w:t xml:space="preserve"> of the 2</w:t>
      </w:r>
      <w:r w:rsidR="00A23881" w:rsidRPr="00A82562">
        <w:rPr>
          <w:rFonts w:ascii="Verdana" w:hAnsi="Verdana"/>
          <w:color w:val="000000" w:themeColor="text1"/>
          <w:sz w:val="20"/>
          <w:szCs w:val="20"/>
          <w:lang w:val="en-GB"/>
        </w:rPr>
        <w:t>7</w:t>
      </w:r>
      <w:r w:rsidRPr="00A82562">
        <w:rPr>
          <w:rFonts w:ascii="Verdana" w:hAnsi="Verdana"/>
          <w:color w:val="000000" w:themeColor="text1"/>
          <w:sz w:val="20"/>
          <w:szCs w:val="20"/>
          <w:lang w:val="en-GB"/>
        </w:rPr>
        <w:t xml:space="preserve"> studies reported attributes’ relative statistical significance or outlined p-values based on which it could be determined (using p&lt;0.05). Five alphas were used, with the strictest set at p&lt;0.0001. In line with high-quality studies, </w:t>
      </w:r>
      <w:r w:rsidR="0043753C" w:rsidRPr="00A82562">
        <w:rPr>
          <w:rFonts w:ascii="Verdana" w:hAnsi="Verdana"/>
          <w:color w:val="000000" w:themeColor="text1"/>
          <w:sz w:val="20"/>
          <w:szCs w:val="20"/>
          <w:lang w:val="en-GB"/>
        </w:rPr>
        <w:t xml:space="preserve">outcome and cost-related measures were </w:t>
      </w:r>
      <w:r w:rsidRPr="00A82562">
        <w:rPr>
          <w:rFonts w:ascii="Verdana" w:hAnsi="Verdana"/>
          <w:color w:val="000000" w:themeColor="text1"/>
          <w:sz w:val="20"/>
          <w:szCs w:val="20"/>
          <w:lang w:val="en-GB"/>
        </w:rPr>
        <w:t>most commonly statistically significant (Table 2). The most obvious change introduced by the inclusion of lower-quality studies is the increase in frequency of reporting statistical significance for disease risk</w:t>
      </w:r>
      <w:r w:rsidR="0043753C" w:rsidRPr="00A82562">
        <w:rPr>
          <w:rFonts w:ascii="Verdana" w:hAnsi="Verdana"/>
          <w:color w:val="000000" w:themeColor="text1"/>
          <w:sz w:val="20"/>
          <w:szCs w:val="20"/>
          <w:lang w:val="en-GB"/>
        </w:rPr>
        <w:t xml:space="preserve"> (other)</w:t>
      </w:r>
      <w:r w:rsidRPr="00A82562">
        <w:rPr>
          <w:rFonts w:ascii="Verdana" w:hAnsi="Verdana"/>
          <w:color w:val="000000" w:themeColor="text1"/>
          <w:sz w:val="20"/>
          <w:szCs w:val="20"/>
          <w:lang w:val="en-GB"/>
        </w:rPr>
        <w:t>. This shift was also detected for vaccinees and could be explained by the amount of lower-quality studies that included disease risk attributes (Figure 1). No changes occurred among the domains that were least reported statistically significant.</w:t>
      </w:r>
    </w:p>
    <w:p w:rsidR="00233761" w:rsidRPr="00A82562" w:rsidRDefault="00233761" w:rsidP="00233761">
      <w:pPr>
        <w:spacing w:line="360" w:lineRule="auto"/>
        <w:rPr>
          <w:rFonts w:ascii="Verdana" w:hAnsi="Verdana"/>
          <w:color w:val="000000" w:themeColor="text1"/>
          <w:sz w:val="20"/>
          <w:szCs w:val="20"/>
          <w:lang w:val="en-GB"/>
        </w:rPr>
      </w:pPr>
    </w:p>
    <w:p w:rsidR="00823E4F" w:rsidRPr="00A82562" w:rsidRDefault="00823E4F" w:rsidP="00233761">
      <w:pPr>
        <w:spacing w:line="360" w:lineRule="auto"/>
        <w:rPr>
          <w:rFonts w:ascii="Verdana" w:hAnsi="Verdana"/>
          <w:color w:val="000000" w:themeColor="text1"/>
          <w:sz w:val="20"/>
          <w:szCs w:val="20"/>
          <w:lang w:val="en-GB"/>
        </w:rPr>
      </w:pPr>
    </w:p>
    <w:p w:rsidR="00823E4F" w:rsidRPr="00A82562" w:rsidRDefault="00823E4F" w:rsidP="00233761">
      <w:pPr>
        <w:spacing w:line="360" w:lineRule="auto"/>
        <w:rPr>
          <w:rFonts w:ascii="Verdana" w:hAnsi="Verdana"/>
          <w:color w:val="000000" w:themeColor="text1"/>
          <w:sz w:val="20"/>
          <w:szCs w:val="20"/>
          <w:lang w:val="en-GB"/>
        </w:rPr>
      </w:pPr>
    </w:p>
    <w:p w:rsidR="00823E4F" w:rsidRPr="00A82562" w:rsidRDefault="00823E4F" w:rsidP="00233761">
      <w:pPr>
        <w:spacing w:line="360" w:lineRule="auto"/>
        <w:rPr>
          <w:rFonts w:ascii="Verdana" w:hAnsi="Verdana"/>
          <w:color w:val="000000" w:themeColor="text1"/>
          <w:sz w:val="20"/>
          <w:szCs w:val="20"/>
          <w:lang w:val="en-GB"/>
        </w:rPr>
      </w:pPr>
    </w:p>
    <w:p w:rsidR="00823E4F" w:rsidRPr="00A82562" w:rsidRDefault="00823E4F" w:rsidP="00233761">
      <w:pPr>
        <w:spacing w:line="360" w:lineRule="auto"/>
        <w:rPr>
          <w:rFonts w:ascii="Verdana" w:hAnsi="Verdana"/>
          <w:color w:val="000000" w:themeColor="text1"/>
          <w:sz w:val="20"/>
          <w:szCs w:val="20"/>
          <w:lang w:val="en-GB"/>
        </w:rPr>
      </w:pPr>
    </w:p>
    <w:p w:rsidR="00823E4F" w:rsidRPr="00A82562" w:rsidRDefault="00823E4F" w:rsidP="00233761">
      <w:pPr>
        <w:spacing w:line="360" w:lineRule="auto"/>
        <w:rPr>
          <w:rFonts w:ascii="Verdana" w:hAnsi="Verdana"/>
          <w:color w:val="000000" w:themeColor="text1"/>
          <w:sz w:val="20"/>
          <w:szCs w:val="20"/>
          <w:lang w:val="en-GB"/>
        </w:rPr>
      </w:pPr>
    </w:p>
    <w:p w:rsidR="00491E89" w:rsidRPr="00A82562" w:rsidRDefault="00491E89" w:rsidP="00491E89">
      <w:pPr>
        <w:rPr>
          <w:rFonts w:ascii="Verdana" w:hAnsi="Verdana"/>
          <w:b/>
          <w:bCs/>
          <w:color w:val="000000" w:themeColor="text1"/>
          <w:sz w:val="20"/>
          <w:szCs w:val="20"/>
          <w:lang w:val="en-GB"/>
        </w:rPr>
      </w:pPr>
      <w:r w:rsidRPr="00A82562">
        <w:rPr>
          <w:rFonts w:ascii="Verdana" w:hAnsi="Verdana"/>
          <w:b/>
          <w:bCs/>
          <w:color w:val="000000" w:themeColor="text1"/>
          <w:sz w:val="18"/>
          <w:szCs w:val="18"/>
          <w:lang w:val="en-GB"/>
        </w:rPr>
        <w:lastRenderedPageBreak/>
        <w:t>Table 2</w:t>
      </w:r>
      <w:r w:rsidRPr="00A82562">
        <w:rPr>
          <w:rFonts w:ascii="Verdana" w:hAnsi="Verdana"/>
          <w:b/>
          <w:bCs/>
          <w:color w:val="000000" w:themeColor="text1"/>
          <w:sz w:val="20"/>
          <w:szCs w:val="20"/>
          <w:lang w:val="en-GB"/>
        </w:rPr>
        <w:t xml:space="preserve"> </w:t>
      </w:r>
      <w:r w:rsidRPr="00A82562">
        <w:rPr>
          <w:rFonts w:ascii="Verdana" w:hAnsi="Verdana"/>
          <w:b/>
          <w:bCs/>
          <w:color w:val="000000" w:themeColor="text1"/>
          <w:sz w:val="16"/>
          <w:szCs w:val="16"/>
          <w:lang w:val="en-GB"/>
        </w:rPr>
        <w:t>Overview of all studies reporting relative statistical significance of domains (representatives)</w:t>
      </w:r>
    </w:p>
    <w:tbl>
      <w:tblPr>
        <w:tblStyle w:val="Tabelraster"/>
        <w:tblW w:w="9214"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993"/>
        <w:gridCol w:w="992"/>
        <w:gridCol w:w="992"/>
        <w:gridCol w:w="992"/>
        <w:gridCol w:w="1134"/>
        <w:gridCol w:w="567"/>
        <w:gridCol w:w="1134"/>
      </w:tblGrid>
      <w:tr w:rsidR="00A82562" w:rsidRPr="00A82562" w:rsidTr="00C65364">
        <w:tc>
          <w:tcPr>
            <w:tcW w:w="2410" w:type="dxa"/>
            <w:tcBorders>
              <w:top w:val="single" w:sz="4" w:space="0" w:color="auto"/>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Category &amp; domain (n=)*</w:t>
            </w:r>
          </w:p>
        </w:tc>
        <w:tc>
          <w:tcPr>
            <w:tcW w:w="6804" w:type="dxa"/>
            <w:gridSpan w:val="7"/>
            <w:tcBorders>
              <w:top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Statistical significance**</w:t>
            </w:r>
          </w:p>
        </w:tc>
      </w:tr>
      <w:tr w:rsidR="00A82562" w:rsidRPr="00A82562" w:rsidTr="00C65364">
        <w:tc>
          <w:tcPr>
            <w:tcW w:w="2410" w:type="dxa"/>
            <w:tcBorders>
              <w:bottom w:val="single" w:sz="4" w:space="0" w:color="auto"/>
              <w:right w:val="single" w:sz="4" w:space="0" w:color="auto"/>
            </w:tcBorders>
          </w:tcPr>
          <w:p w:rsidR="00491E89" w:rsidRPr="00A82562" w:rsidRDefault="00491E89" w:rsidP="00C65364">
            <w:pPr>
              <w:rPr>
                <w:rFonts w:ascii="Verdana" w:hAnsi="Verdana"/>
                <w:color w:val="000000" w:themeColor="text1"/>
                <w:sz w:val="16"/>
                <w:szCs w:val="16"/>
                <w:lang w:val="en-GB"/>
              </w:rPr>
            </w:pPr>
          </w:p>
        </w:tc>
        <w:tc>
          <w:tcPr>
            <w:tcW w:w="993" w:type="dxa"/>
            <w:tcBorders>
              <w:top w:val="single" w:sz="4" w:space="0" w:color="auto"/>
              <w:left w:val="single" w:sz="4" w:space="0" w:color="auto"/>
              <w:bottom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P&lt;0.10</w:t>
            </w:r>
          </w:p>
        </w:tc>
        <w:tc>
          <w:tcPr>
            <w:tcW w:w="992" w:type="dxa"/>
            <w:tcBorders>
              <w:top w:val="single" w:sz="4" w:space="0" w:color="auto"/>
              <w:bottom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P&lt;0.05</w:t>
            </w:r>
          </w:p>
        </w:tc>
        <w:tc>
          <w:tcPr>
            <w:tcW w:w="992" w:type="dxa"/>
            <w:tcBorders>
              <w:top w:val="single" w:sz="4" w:space="0" w:color="auto"/>
              <w:bottom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P&lt;0.01</w:t>
            </w:r>
          </w:p>
        </w:tc>
        <w:tc>
          <w:tcPr>
            <w:tcW w:w="992" w:type="dxa"/>
            <w:tcBorders>
              <w:top w:val="single" w:sz="4" w:space="0" w:color="auto"/>
              <w:bottom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P&lt;0.001</w:t>
            </w:r>
          </w:p>
        </w:tc>
        <w:tc>
          <w:tcPr>
            <w:tcW w:w="1134" w:type="dxa"/>
            <w:tcBorders>
              <w:top w:val="single" w:sz="4" w:space="0" w:color="auto"/>
              <w:bottom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P&lt;0.0001</w:t>
            </w:r>
          </w:p>
        </w:tc>
        <w:tc>
          <w:tcPr>
            <w:tcW w:w="567" w:type="dxa"/>
            <w:tcBorders>
              <w:top w:val="single" w:sz="4" w:space="0" w:color="auto"/>
              <w:bottom w:val="single" w:sz="4" w:space="0" w:color="auto"/>
              <w:right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Tot.</w:t>
            </w:r>
          </w:p>
        </w:tc>
        <w:tc>
          <w:tcPr>
            <w:tcW w:w="1134" w:type="dxa"/>
            <w:tcBorders>
              <w:top w:val="single" w:sz="4" w:space="0" w:color="auto"/>
              <w:left w:val="single" w:sz="4" w:space="0" w:color="auto"/>
              <w:bottom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Not sign.</w:t>
            </w:r>
          </w:p>
        </w:tc>
      </w:tr>
      <w:tr w:rsidR="00A82562" w:rsidRPr="00A82562" w:rsidTr="00C65364">
        <w:tc>
          <w:tcPr>
            <w:tcW w:w="2410" w:type="dxa"/>
            <w:tcBorders>
              <w:top w:val="single" w:sz="4" w:space="0" w:color="auto"/>
              <w:right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Outcome</w:t>
            </w:r>
          </w:p>
        </w:tc>
        <w:tc>
          <w:tcPr>
            <w:tcW w:w="993" w:type="dxa"/>
            <w:tcBorders>
              <w:top w:val="single" w:sz="4" w:space="0" w:color="auto"/>
              <w:left w:val="single" w:sz="4" w:space="0" w:color="auto"/>
            </w:tcBorders>
          </w:tcPr>
          <w:p w:rsidR="00491E89" w:rsidRPr="00A82562" w:rsidRDefault="00491E89" w:rsidP="00C65364">
            <w:pPr>
              <w:rPr>
                <w:rFonts w:ascii="Verdana" w:hAnsi="Verdana"/>
                <w:color w:val="000000" w:themeColor="text1"/>
                <w:sz w:val="16"/>
                <w:szCs w:val="16"/>
                <w:lang w:val="en-GB"/>
              </w:rPr>
            </w:pPr>
          </w:p>
        </w:tc>
        <w:tc>
          <w:tcPr>
            <w:tcW w:w="992" w:type="dxa"/>
            <w:tcBorders>
              <w:top w:val="single" w:sz="4" w:space="0" w:color="auto"/>
            </w:tcBorders>
          </w:tcPr>
          <w:p w:rsidR="00491E89" w:rsidRPr="00A82562" w:rsidRDefault="00491E89" w:rsidP="00C65364">
            <w:pPr>
              <w:rPr>
                <w:rFonts w:ascii="Verdana" w:hAnsi="Verdana"/>
                <w:color w:val="000000" w:themeColor="text1"/>
                <w:sz w:val="16"/>
                <w:szCs w:val="16"/>
                <w:lang w:val="en-GB"/>
              </w:rPr>
            </w:pPr>
          </w:p>
        </w:tc>
        <w:tc>
          <w:tcPr>
            <w:tcW w:w="992" w:type="dxa"/>
            <w:tcBorders>
              <w:top w:val="single" w:sz="4" w:space="0" w:color="auto"/>
            </w:tcBorders>
          </w:tcPr>
          <w:p w:rsidR="00491E89" w:rsidRPr="00A82562" w:rsidRDefault="00491E89" w:rsidP="00C65364">
            <w:pPr>
              <w:rPr>
                <w:rFonts w:ascii="Verdana" w:hAnsi="Verdana"/>
                <w:color w:val="000000" w:themeColor="text1"/>
                <w:sz w:val="16"/>
                <w:szCs w:val="16"/>
                <w:lang w:val="en-GB"/>
              </w:rPr>
            </w:pPr>
          </w:p>
        </w:tc>
        <w:tc>
          <w:tcPr>
            <w:tcW w:w="992" w:type="dxa"/>
            <w:tcBorders>
              <w:top w:val="single" w:sz="4" w:space="0" w:color="auto"/>
            </w:tcBorders>
          </w:tcPr>
          <w:p w:rsidR="00491E89" w:rsidRPr="00A82562" w:rsidRDefault="00491E89" w:rsidP="00C65364">
            <w:pPr>
              <w:rPr>
                <w:rFonts w:ascii="Verdana" w:hAnsi="Verdana"/>
                <w:color w:val="000000" w:themeColor="text1"/>
                <w:sz w:val="16"/>
                <w:szCs w:val="16"/>
                <w:lang w:val="en-GB"/>
              </w:rPr>
            </w:pPr>
          </w:p>
        </w:tc>
        <w:tc>
          <w:tcPr>
            <w:tcW w:w="1134" w:type="dxa"/>
            <w:tcBorders>
              <w:top w:val="single" w:sz="4" w:space="0" w:color="auto"/>
            </w:tcBorders>
          </w:tcPr>
          <w:p w:rsidR="00491E89" w:rsidRPr="00A82562" w:rsidRDefault="00491E89" w:rsidP="00C65364">
            <w:pPr>
              <w:rPr>
                <w:rFonts w:ascii="Verdana" w:hAnsi="Verdana"/>
                <w:color w:val="000000" w:themeColor="text1"/>
                <w:sz w:val="16"/>
                <w:szCs w:val="16"/>
                <w:lang w:val="en-GB"/>
              </w:rPr>
            </w:pPr>
          </w:p>
        </w:tc>
        <w:tc>
          <w:tcPr>
            <w:tcW w:w="567" w:type="dxa"/>
            <w:tcBorders>
              <w:top w:val="single" w:sz="4" w:space="0" w:color="auto"/>
              <w:right w:val="single" w:sz="4" w:space="0" w:color="auto"/>
            </w:tcBorders>
          </w:tcPr>
          <w:p w:rsidR="00491E89" w:rsidRPr="00A82562" w:rsidRDefault="00491E89" w:rsidP="00C65364">
            <w:pPr>
              <w:rPr>
                <w:rFonts w:ascii="Verdana" w:hAnsi="Verdana"/>
                <w:color w:val="000000" w:themeColor="text1"/>
                <w:sz w:val="16"/>
                <w:szCs w:val="16"/>
                <w:lang w:val="en-GB"/>
              </w:rPr>
            </w:pPr>
          </w:p>
        </w:tc>
        <w:tc>
          <w:tcPr>
            <w:tcW w:w="1134" w:type="dxa"/>
            <w:tcBorders>
              <w:top w:val="single" w:sz="4" w:space="0" w:color="auto"/>
              <w:left w:val="single" w:sz="4" w:space="0" w:color="auto"/>
            </w:tcBorders>
          </w:tcPr>
          <w:p w:rsidR="00491E89" w:rsidRPr="00A82562" w:rsidRDefault="00491E89" w:rsidP="00C65364">
            <w:pPr>
              <w:rPr>
                <w:rFonts w:ascii="Verdana" w:hAnsi="Verdana"/>
                <w:color w:val="000000" w:themeColor="text1"/>
                <w:sz w:val="16"/>
                <w:szCs w:val="16"/>
                <w:lang w:val="en-GB"/>
              </w:rPr>
            </w:pPr>
          </w:p>
        </w:tc>
      </w:tr>
      <w:tr w:rsidR="00A82562" w:rsidRPr="00A82562" w:rsidTr="00C65364">
        <w:tc>
          <w:tcPr>
            <w:tcW w:w="241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Protection duration (n=7)</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3</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c>
          <w:tcPr>
            <w:tcW w:w="1134"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567"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7</w:t>
            </w:r>
          </w:p>
        </w:tc>
        <w:tc>
          <w:tcPr>
            <w:tcW w:w="1134"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r>
      <w:tr w:rsidR="00A82562" w:rsidRPr="00A82562" w:rsidTr="00C65364">
        <w:tc>
          <w:tcPr>
            <w:tcW w:w="241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Vaccine effect. (n=</w:t>
            </w:r>
            <w:r w:rsidR="0081280C" w:rsidRPr="00A82562">
              <w:rPr>
                <w:rFonts w:ascii="Verdana" w:hAnsi="Verdana"/>
                <w:color w:val="000000" w:themeColor="text1"/>
                <w:sz w:val="16"/>
                <w:szCs w:val="16"/>
                <w:lang w:val="en-GB"/>
              </w:rPr>
              <w:t>14</w:t>
            </w:r>
            <w:r w:rsidRPr="00A82562">
              <w:rPr>
                <w:rFonts w:ascii="Verdana" w:hAnsi="Verdana"/>
                <w:color w:val="000000" w:themeColor="text1"/>
                <w:sz w:val="16"/>
                <w:szCs w:val="16"/>
                <w:lang w:val="en-GB"/>
              </w:rPr>
              <w:t>)</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81280C"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8</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5</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c>
          <w:tcPr>
            <w:tcW w:w="1134"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567"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r w:rsidR="0081280C" w:rsidRPr="00A82562">
              <w:rPr>
                <w:rFonts w:ascii="Verdana" w:hAnsi="Verdana"/>
                <w:color w:val="000000" w:themeColor="text1"/>
                <w:sz w:val="16"/>
                <w:szCs w:val="16"/>
                <w:lang w:val="en-GB"/>
              </w:rPr>
              <w:t>6</w:t>
            </w:r>
          </w:p>
        </w:tc>
        <w:tc>
          <w:tcPr>
            <w:tcW w:w="1134"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r>
      <w:tr w:rsidR="00A82562" w:rsidRPr="00A82562" w:rsidTr="00C65364">
        <w:tc>
          <w:tcPr>
            <w:tcW w:w="241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Vaccine risk (n=1</w:t>
            </w:r>
            <w:r w:rsidR="0081280C" w:rsidRPr="00A82562">
              <w:rPr>
                <w:rFonts w:ascii="Verdana" w:hAnsi="Verdana"/>
                <w:color w:val="000000" w:themeColor="text1"/>
                <w:sz w:val="16"/>
                <w:szCs w:val="16"/>
                <w:lang w:val="en-GB"/>
              </w:rPr>
              <w:t>7</w:t>
            </w:r>
            <w:r w:rsidRPr="00A82562">
              <w:rPr>
                <w:rFonts w:ascii="Verdana" w:hAnsi="Verdana"/>
                <w:color w:val="000000" w:themeColor="text1"/>
                <w:sz w:val="16"/>
                <w:szCs w:val="16"/>
                <w:lang w:val="en-GB"/>
              </w:rPr>
              <w:t>)</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992" w:type="dxa"/>
          </w:tcPr>
          <w:p w:rsidR="00491E89" w:rsidRPr="00A82562" w:rsidRDefault="0081280C"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3</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4</w:t>
            </w:r>
          </w:p>
        </w:tc>
        <w:tc>
          <w:tcPr>
            <w:tcW w:w="1134"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567"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r w:rsidR="0081280C" w:rsidRPr="00A82562">
              <w:rPr>
                <w:rFonts w:ascii="Verdana" w:hAnsi="Verdana"/>
                <w:color w:val="000000" w:themeColor="text1"/>
                <w:sz w:val="16"/>
                <w:szCs w:val="16"/>
                <w:lang w:val="en-GB"/>
              </w:rPr>
              <w:t>9</w:t>
            </w:r>
          </w:p>
        </w:tc>
        <w:tc>
          <w:tcPr>
            <w:tcW w:w="1134"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r>
      <w:tr w:rsidR="00A82562" w:rsidRPr="00A82562" w:rsidTr="00C65364">
        <w:tc>
          <w:tcPr>
            <w:tcW w:w="2410" w:type="dxa"/>
            <w:tcBorders>
              <w:right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Process</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p>
        </w:tc>
        <w:tc>
          <w:tcPr>
            <w:tcW w:w="992" w:type="dxa"/>
          </w:tcPr>
          <w:p w:rsidR="00491E89" w:rsidRPr="00A82562" w:rsidRDefault="00491E89" w:rsidP="00C65364">
            <w:pPr>
              <w:rPr>
                <w:rFonts w:ascii="Verdana" w:hAnsi="Verdana"/>
                <w:color w:val="000000" w:themeColor="text1"/>
                <w:sz w:val="16"/>
                <w:szCs w:val="16"/>
                <w:lang w:val="en-GB"/>
              </w:rPr>
            </w:pPr>
          </w:p>
        </w:tc>
        <w:tc>
          <w:tcPr>
            <w:tcW w:w="992" w:type="dxa"/>
          </w:tcPr>
          <w:p w:rsidR="00491E89" w:rsidRPr="00A82562" w:rsidRDefault="00491E89" w:rsidP="00C65364">
            <w:pPr>
              <w:rPr>
                <w:rFonts w:ascii="Verdana" w:hAnsi="Verdana"/>
                <w:color w:val="000000" w:themeColor="text1"/>
                <w:sz w:val="16"/>
                <w:szCs w:val="16"/>
                <w:lang w:val="en-GB"/>
              </w:rPr>
            </w:pPr>
          </w:p>
        </w:tc>
        <w:tc>
          <w:tcPr>
            <w:tcW w:w="992" w:type="dxa"/>
          </w:tcPr>
          <w:p w:rsidR="00491E89" w:rsidRPr="00A82562" w:rsidRDefault="00491E89" w:rsidP="00C65364">
            <w:pPr>
              <w:rPr>
                <w:rFonts w:ascii="Verdana" w:hAnsi="Verdana"/>
                <w:color w:val="000000" w:themeColor="text1"/>
                <w:sz w:val="16"/>
                <w:szCs w:val="16"/>
                <w:lang w:val="en-GB"/>
              </w:rPr>
            </w:pPr>
          </w:p>
        </w:tc>
        <w:tc>
          <w:tcPr>
            <w:tcW w:w="1134" w:type="dxa"/>
          </w:tcPr>
          <w:p w:rsidR="00491E89" w:rsidRPr="00A82562" w:rsidRDefault="00491E89" w:rsidP="00C65364">
            <w:pPr>
              <w:rPr>
                <w:rFonts w:ascii="Verdana" w:hAnsi="Verdana"/>
                <w:color w:val="000000" w:themeColor="text1"/>
                <w:sz w:val="16"/>
                <w:szCs w:val="16"/>
                <w:lang w:val="en-GB"/>
              </w:rPr>
            </w:pPr>
          </w:p>
        </w:tc>
        <w:tc>
          <w:tcPr>
            <w:tcW w:w="567"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p>
        </w:tc>
        <w:tc>
          <w:tcPr>
            <w:tcW w:w="1134"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p>
        </w:tc>
      </w:tr>
      <w:tr w:rsidR="00A82562" w:rsidRPr="00A82562" w:rsidTr="00C65364">
        <w:tc>
          <w:tcPr>
            <w:tcW w:w="241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Dosing &amp; visits (n=</w:t>
            </w:r>
            <w:r w:rsidR="0081280C" w:rsidRPr="00A82562">
              <w:rPr>
                <w:rFonts w:ascii="Verdana" w:hAnsi="Verdana"/>
                <w:color w:val="000000" w:themeColor="text1"/>
                <w:sz w:val="16"/>
                <w:szCs w:val="16"/>
                <w:lang w:val="en-GB"/>
              </w:rPr>
              <w:t>6</w:t>
            </w:r>
            <w:r w:rsidRPr="00A82562">
              <w:rPr>
                <w:rFonts w:ascii="Verdana" w:hAnsi="Verdana"/>
                <w:color w:val="000000" w:themeColor="text1"/>
                <w:sz w:val="16"/>
                <w:szCs w:val="16"/>
                <w:lang w:val="en-GB"/>
              </w:rPr>
              <w:t>)</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3</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1134"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567"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5</w:t>
            </w:r>
          </w:p>
        </w:tc>
        <w:tc>
          <w:tcPr>
            <w:tcW w:w="1134" w:type="dxa"/>
            <w:tcBorders>
              <w:left w:val="single" w:sz="4" w:space="0" w:color="auto"/>
            </w:tcBorders>
          </w:tcPr>
          <w:p w:rsidR="00491E89" w:rsidRPr="00A82562" w:rsidRDefault="0081280C"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r>
      <w:tr w:rsidR="00A82562" w:rsidRPr="00A82562" w:rsidTr="00C65364">
        <w:tc>
          <w:tcPr>
            <w:tcW w:w="241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Service delivery (n=</w:t>
            </w:r>
            <w:r w:rsidR="0081280C" w:rsidRPr="00A82562">
              <w:rPr>
                <w:rFonts w:ascii="Verdana" w:hAnsi="Verdana"/>
                <w:color w:val="000000" w:themeColor="text1"/>
                <w:sz w:val="16"/>
                <w:szCs w:val="16"/>
                <w:lang w:val="en-GB"/>
              </w:rPr>
              <w:t>3</w:t>
            </w:r>
            <w:r w:rsidRPr="00A82562">
              <w:rPr>
                <w:rFonts w:ascii="Verdana" w:hAnsi="Verdana"/>
                <w:color w:val="000000" w:themeColor="text1"/>
                <w:sz w:val="16"/>
                <w:szCs w:val="16"/>
                <w:lang w:val="en-GB"/>
              </w:rPr>
              <w:t>)</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81280C"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4</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1134"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567" w:type="dxa"/>
            <w:tcBorders>
              <w:right w:val="single" w:sz="4" w:space="0" w:color="auto"/>
            </w:tcBorders>
          </w:tcPr>
          <w:p w:rsidR="00491E89" w:rsidRPr="00A82562" w:rsidRDefault="0081280C"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4</w:t>
            </w:r>
          </w:p>
        </w:tc>
        <w:tc>
          <w:tcPr>
            <w:tcW w:w="1134"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r>
      <w:tr w:rsidR="00A82562" w:rsidRPr="00A82562" w:rsidTr="00C65364">
        <w:tc>
          <w:tcPr>
            <w:tcW w:w="241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Target group (n=2)</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1134"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567"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c>
          <w:tcPr>
            <w:tcW w:w="1134"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r>
      <w:tr w:rsidR="00A82562" w:rsidRPr="00A82562" w:rsidTr="00C65364">
        <w:tc>
          <w:tcPr>
            <w:tcW w:w="241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Time (n=3)</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3</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1134"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567"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4</w:t>
            </w:r>
          </w:p>
        </w:tc>
        <w:tc>
          <w:tcPr>
            <w:tcW w:w="1134"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r>
      <w:tr w:rsidR="00A82562" w:rsidRPr="00A82562" w:rsidTr="00C65364">
        <w:tc>
          <w:tcPr>
            <w:tcW w:w="241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Vaccination age (n=1)</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1134"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567"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1134"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r>
      <w:tr w:rsidR="00A82562" w:rsidRPr="00A82562" w:rsidTr="00C65364">
        <w:tc>
          <w:tcPr>
            <w:tcW w:w="241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Vaccine accessibility (n=2)</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1134"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567"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c>
          <w:tcPr>
            <w:tcW w:w="1134"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r>
      <w:tr w:rsidR="00A82562" w:rsidRPr="00A82562" w:rsidTr="00C65364">
        <w:tc>
          <w:tcPr>
            <w:tcW w:w="241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Vaccine adm. (n=2)</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1134"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567"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c>
          <w:tcPr>
            <w:tcW w:w="1134"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r>
      <w:tr w:rsidR="00A82562" w:rsidRPr="00A82562" w:rsidTr="00C65364">
        <w:tc>
          <w:tcPr>
            <w:tcW w:w="241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Vaccine content (n=3)</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1134"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567"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3</w:t>
            </w:r>
          </w:p>
        </w:tc>
        <w:tc>
          <w:tcPr>
            <w:tcW w:w="1134"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r>
      <w:tr w:rsidR="00A82562" w:rsidRPr="00A82562" w:rsidTr="00C65364">
        <w:tc>
          <w:tcPr>
            <w:tcW w:w="2410" w:type="dxa"/>
            <w:tcBorders>
              <w:right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Cost</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p>
        </w:tc>
        <w:tc>
          <w:tcPr>
            <w:tcW w:w="992" w:type="dxa"/>
          </w:tcPr>
          <w:p w:rsidR="00491E89" w:rsidRPr="00A82562" w:rsidRDefault="00491E89" w:rsidP="00C65364">
            <w:pPr>
              <w:rPr>
                <w:rFonts w:ascii="Verdana" w:hAnsi="Verdana"/>
                <w:color w:val="000000" w:themeColor="text1"/>
                <w:sz w:val="16"/>
                <w:szCs w:val="16"/>
                <w:lang w:val="en-GB"/>
              </w:rPr>
            </w:pPr>
          </w:p>
        </w:tc>
        <w:tc>
          <w:tcPr>
            <w:tcW w:w="992" w:type="dxa"/>
          </w:tcPr>
          <w:p w:rsidR="00491E89" w:rsidRPr="00A82562" w:rsidRDefault="00491E89" w:rsidP="00C65364">
            <w:pPr>
              <w:rPr>
                <w:rFonts w:ascii="Verdana" w:hAnsi="Verdana"/>
                <w:color w:val="000000" w:themeColor="text1"/>
                <w:sz w:val="16"/>
                <w:szCs w:val="16"/>
                <w:lang w:val="en-GB"/>
              </w:rPr>
            </w:pPr>
          </w:p>
        </w:tc>
        <w:tc>
          <w:tcPr>
            <w:tcW w:w="992" w:type="dxa"/>
          </w:tcPr>
          <w:p w:rsidR="00491E89" w:rsidRPr="00A82562" w:rsidRDefault="00491E89" w:rsidP="00C65364">
            <w:pPr>
              <w:rPr>
                <w:rFonts w:ascii="Verdana" w:hAnsi="Verdana"/>
                <w:color w:val="000000" w:themeColor="text1"/>
                <w:sz w:val="16"/>
                <w:szCs w:val="16"/>
                <w:lang w:val="en-GB"/>
              </w:rPr>
            </w:pPr>
          </w:p>
        </w:tc>
        <w:tc>
          <w:tcPr>
            <w:tcW w:w="1134" w:type="dxa"/>
          </w:tcPr>
          <w:p w:rsidR="00491E89" w:rsidRPr="00A82562" w:rsidRDefault="00491E89" w:rsidP="00C65364">
            <w:pPr>
              <w:rPr>
                <w:rFonts w:ascii="Verdana" w:hAnsi="Verdana"/>
                <w:color w:val="000000" w:themeColor="text1"/>
                <w:sz w:val="16"/>
                <w:szCs w:val="16"/>
                <w:lang w:val="en-GB"/>
              </w:rPr>
            </w:pPr>
          </w:p>
        </w:tc>
        <w:tc>
          <w:tcPr>
            <w:tcW w:w="567"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p>
        </w:tc>
        <w:tc>
          <w:tcPr>
            <w:tcW w:w="1134"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p>
        </w:tc>
      </w:tr>
      <w:tr w:rsidR="00A82562" w:rsidRPr="00A82562" w:rsidTr="00C65364">
        <w:trPr>
          <w:trHeight w:val="144"/>
        </w:trPr>
        <w:tc>
          <w:tcPr>
            <w:tcW w:w="241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Cost (n=15)</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5</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7</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3</w:t>
            </w:r>
          </w:p>
        </w:tc>
        <w:tc>
          <w:tcPr>
            <w:tcW w:w="1134"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567"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16</w:t>
            </w:r>
          </w:p>
        </w:tc>
        <w:tc>
          <w:tcPr>
            <w:tcW w:w="1134"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r>
      <w:tr w:rsidR="00A82562" w:rsidRPr="00A82562" w:rsidTr="00C65364">
        <w:tc>
          <w:tcPr>
            <w:tcW w:w="2410" w:type="dxa"/>
            <w:tcBorders>
              <w:right w:val="single" w:sz="4" w:space="0" w:color="auto"/>
            </w:tcBorders>
          </w:tcPr>
          <w:p w:rsidR="00491E89" w:rsidRPr="00A82562" w:rsidRDefault="00491E89" w:rsidP="00C65364">
            <w:pPr>
              <w:rPr>
                <w:rFonts w:ascii="Verdana" w:hAnsi="Verdana"/>
                <w:b/>
                <w:bCs/>
                <w:color w:val="000000" w:themeColor="text1"/>
                <w:sz w:val="16"/>
                <w:szCs w:val="16"/>
                <w:lang w:val="en-GB"/>
              </w:rPr>
            </w:pPr>
            <w:r w:rsidRPr="00A82562">
              <w:rPr>
                <w:rFonts w:ascii="Verdana" w:hAnsi="Verdana"/>
                <w:b/>
                <w:bCs/>
                <w:color w:val="000000" w:themeColor="text1"/>
                <w:sz w:val="16"/>
                <w:szCs w:val="16"/>
                <w:lang w:val="en-GB"/>
              </w:rPr>
              <w:t>Other</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p>
        </w:tc>
        <w:tc>
          <w:tcPr>
            <w:tcW w:w="992" w:type="dxa"/>
          </w:tcPr>
          <w:p w:rsidR="00491E89" w:rsidRPr="00A82562" w:rsidRDefault="00491E89" w:rsidP="00C65364">
            <w:pPr>
              <w:rPr>
                <w:rFonts w:ascii="Verdana" w:hAnsi="Verdana"/>
                <w:color w:val="000000" w:themeColor="text1"/>
                <w:sz w:val="16"/>
                <w:szCs w:val="16"/>
                <w:lang w:val="en-GB"/>
              </w:rPr>
            </w:pPr>
          </w:p>
        </w:tc>
        <w:tc>
          <w:tcPr>
            <w:tcW w:w="992" w:type="dxa"/>
          </w:tcPr>
          <w:p w:rsidR="00491E89" w:rsidRPr="00A82562" w:rsidRDefault="00491E89" w:rsidP="00C65364">
            <w:pPr>
              <w:rPr>
                <w:rFonts w:ascii="Verdana" w:hAnsi="Verdana"/>
                <w:color w:val="000000" w:themeColor="text1"/>
                <w:sz w:val="16"/>
                <w:szCs w:val="16"/>
                <w:lang w:val="en-GB"/>
              </w:rPr>
            </w:pPr>
          </w:p>
        </w:tc>
        <w:tc>
          <w:tcPr>
            <w:tcW w:w="992" w:type="dxa"/>
          </w:tcPr>
          <w:p w:rsidR="00491E89" w:rsidRPr="00A82562" w:rsidRDefault="00491E89" w:rsidP="00C65364">
            <w:pPr>
              <w:rPr>
                <w:rFonts w:ascii="Verdana" w:hAnsi="Verdana"/>
                <w:color w:val="000000" w:themeColor="text1"/>
                <w:sz w:val="16"/>
                <w:szCs w:val="16"/>
                <w:lang w:val="en-GB"/>
              </w:rPr>
            </w:pPr>
          </w:p>
        </w:tc>
        <w:tc>
          <w:tcPr>
            <w:tcW w:w="1134" w:type="dxa"/>
          </w:tcPr>
          <w:p w:rsidR="00491E89" w:rsidRPr="00A82562" w:rsidRDefault="00491E89" w:rsidP="00C65364">
            <w:pPr>
              <w:rPr>
                <w:rFonts w:ascii="Verdana" w:hAnsi="Verdana"/>
                <w:color w:val="000000" w:themeColor="text1"/>
                <w:sz w:val="16"/>
                <w:szCs w:val="16"/>
                <w:lang w:val="en-GB"/>
              </w:rPr>
            </w:pPr>
          </w:p>
        </w:tc>
        <w:tc>
          <w:tcPr>
            <w:tcW w:w="567"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p>
        </w:tc>
        <w:tc>
          <w:tcPr>
            <w:tcW w:w="1134"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p>
        </w:tc>
      </w:tr>
      <w:tr w:rsidR="00A82562" w:rsidRPr="00A82562" w:rsidTr="00C65364">
        <w:tc>
          <w:tcPr>
            <w:tcW w:w="241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Context (n=</w:t>
            </w:r>
            <w:r w:rsidR="0081280C" w:rsidRPr="00A82562">
              <w:rPr>
                <w:rFonts w:ascii="Verdana" w:hAnsi="Verdana"/>
                <w:color w:val="000000" w:themeColor="text1"/>
                <w:sz w:val="16"/>
                <w:szCs w:val="16"/>
                <w:lang w:val="en-GB"/>
              </w:rPr>
              <w:t>5</w:t>
            </w:r>
            <w:r w:rsidRPr="00A82562">
              <w:rPr>
                <w:rFonts w:ascii="Verdana" w:hAnsi="Verdana"/>
                <w:color w:val="000000" w:themeColor="text1"/>
                <w:sz w:val="16"/>
                <w:szCs w:val="16"/>
                <w:lang w:val="en-GB"/>
              </w:rPr>
              <w:t>)</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81280C"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5</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1134"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567" w:type="dxa"/>
            <w:tcBorders>
              <w:right w:val="single" w:sz="4" w:space="0" w:color="auto"/>
            </w:tcBorders>
          </w:tcPr>
          <w:p w:rsidR="00491E89" w:rsidRPr="00A82562" w:rsidRDefault="0081280C"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7</w:t>
            </w:r>
          </w:p>
        </w:tc>
        <w:tc>
          <w:tcPr>
            <w:tcW w:w="1134"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r>
      <w:tr w:rsidR="00A82562" w:rsidRPr="00A82562" w:rsidTr="00C65364">
        <w:tc>
          <w:tcPr>
            <w:tcW w:w="241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Disease risk (n=6)</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7</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1134"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567"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8</w:t>
            </w:r>
          </w:p>
        </w:tc>
        <w:tc>
          <w:tcPr>
            <w:tcW w:w="1134"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r>
      <w:tr w:rsidR="00A82562" w:rsidRPr="00A82562" w:rsidTr="00C65364">
        <w:tc>
          <w:tcPr>
            <w:tcW w:w="2410"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Information (n=2)</w:t>
            </w:r>
          </w:p>
        </w:tc>
        <w:tc>
          <w:tcPr>
            <w:tcW w:w="993"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3</w:t>
            </w:r>
          </w:p>
        </w:tc>
        <w:tc>
          <w:tcPr>
            <w:tcW w:w="992"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1134" w:type="dxa"/>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567" w:type="dxa"/>
            <w:tcBorders>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3</w:t>
            </w:r>
          </w:p>
        </w:tc>
        <w:tc>
          <w:tcPr>
            <w:tcW w:w="1134" w:type="dxa"/>
            <w:tcBorders>
              <w:lef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r>
      <w:tr w:rsidR="00A82562" w:rsidRPr="00A82562" w:rsidTr="00C65364">
        <w:tc>
          <w:tcPr>
            <w:tcW w:w="2410" w:type="dxa"/>
            <w:tcBorders>
              <w:bottom w:val="single" w:sz="4" w:space="0" w:color="auto"/>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Other (n=5)</w:t>
            </w:r>
          </w:p>
        </w:tc>
        <w:tc>
          <w:tcPr>
            <w:tcW w:w="993" w:type="dxa"/>
            <w:tcBorders>
              <w:left w:val="single" w:sz="4" w:space="0" w:color="auto"/>
              <w:bottom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992" w:type="dxa"/>
            <w:tcBorders>
              <w:bottom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3</w:t>
            </w:r>
          </w:p>
        </w:tc>
        <w:tc>
          <w:tcPr>
            <w:tcW w:w="992" w:type="dxa"/>
            <w:tcBorders>
              <w:bottom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2</w:t>
            </w:r>
          </w:p>
        </w:tc>
        <w:tc>
          <w:tcPr>
            <w:tcW w:w="992" w:type="dxa"/>
            <w:tcBorders>
              <w:bottom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1</w:t>
            </w:r>
          </w:p>
        </w:tc>
        <w:tc>
          <w:tcPr>
            <w:tcW w:w="1134" w:type="dxa"/>
            <w:tcBorders>
              <w:bottom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c>
          <w:tcPr>
            <w:tcW w:w="567" w:type="dxa"/>
            <w:tcBorders>
              <w:bottom w:val="single" w:sz="4" w:space="0" w:color="auto"/>
              <w:right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6</w:t>
            </w:r>
          </w:p>
        </w:tc>
        <w:tc>
          <w:tcPr>
            <w:tcW w:w="1134" w:type="dxa"/>
            <w:tcBorders>
              <w:left w:val="single" w:sz="4" w:space="0" w:color="auto"/>
              <w:bottom w:val="single" w:sz="4" w:space="0" w:color="auto"/>
            </w:tcBorders>
          </w:tcPr>
          <w:p w:rsidR="00491E89" w:rsidRPr="00A82562" w:rsidRDefault="00491E89" w:rsidP="00C65364">
            <w:pPr>
              <w:rPr>
                <w:rFonts w:ascii="Verdana" w:hAnsi="Verdana"/>
                <w:color w:val="000000" w:themeColor="text1"/>
                <w:sz w:val="16"/>
                <w:szCs w:val="16"/>
                <w:lang w:val="en-GB"/>
              </w:rPr>
            </w:pPr>
            <w:r w:rsidRPr="00A82562">
              <w:rPr>
                <w:rFonts w:ascii="Verdana" w:hAnsi="Verdana"/>
                <w:color w:val="000000" w:themeColor="text1"/>
                <w:sz w:val="16"/>
                <w:szCs w:val="16"/>
                <w:lang w:val="en-GB"/>
              </w:rPr>
              <w:t>0</w:t>
            </w:r>
          </w:p>
        </w:tc>
      </w:tr>
    </w:tbl>
    <w:p w:rsidR="00491E89" w:rsidRPr="00A82562" w:rsidRDefault="00491E89" w:rsidP="00491E89">
      <w:pPr>
        <w:rPr>
          <w:rFonts w:ascii="Verdana" w:hAnsi="Verdana"/>
          <w:color w:val="000000" w:themeColor="text1"/>
          <w:sz w:val="16"/>
          <w:szCs w:val="16"/>
          <w:lang w:val="en-GB"/>
        </w:rPr>
      </w:pPr>
      <w:r w:rsidRPr="00A82562">
        <w:rPr>
          <w:rFonts w:ascii="Verdana" w:hAnsi="Verdana"/>
          <w:color w:val="000000" w:themeColor="text1"/>
          <w:sz w:val="16"/>
          <w:szCs w:val="16"/>
          <w:lang w:val="en-GB"/>
        </w:rPr>
        <w:t xml:space="preserve">*n=number of studies reporting a particular domain. </w:t>
      </w:r>
      <w:r w:rsidR="0081280C" w:rsidRPr="00A82562">
        <w:rPr>
          <w:rFonts w:ascii="Verdana" w:hAnsi="Verdana"/>
          <w:color w:val="000000" w:themeColor="text1"/>
          <w:sz w:val="16"/>
          <w:szCs w:val="16"/>
          <w:lang w:val="en-GB"/>
        </w:rPr>
        <w:t>21</w:t>
      </w:r>
      <w:r w:rsidRPr="00A82562">
        <w:rPr>
          <w:rFonts w:ascii="Verdana" w:hAnsi="Verdana"/>
          <w:color w:val="000000" w:themeColor="text1"/>
          <w:sz w:val="16"/>
          <w:szCs w:val="16"/>
          <w:lang w:val="en-GB"/>
        </w:rPr>
        <w:t>/2</w:t>
      </w:r>
      <w:r w:rsidR="0081280C" w:rsidRPr="00A82562">
        <w:rPr>
          <w:rFonts w:ascii="Verdana" w:hAnsi="Verdana"/>
          <w:color w:val="000000" w:themeColor="text1"/>
          <w:sz w:val="16"/>
          <w:szCs w:val="16"/>
          <w:lang w:val="en-GB"/>
        </w:rPr>
        <w:t>7</w:t>
      </w:r>
      <w:r w:rsidRPr="00A82562">
        <w:rPr>
          <w:rFonts w:ascii="Verdana" w:hAnsi="Verdana"/>
          <w:color w:val="000000" w:themeColor="text1"/>
          <w:sz w:val="16"/>
          <w:szCs w:val="16"/>
          <w:lang w:val="en-GB"/>
        </w:rPr>
        <w:t xml:space="preserve"> studies reported statistical significance and/or attribute p-values; **</w:t>
      </w:r>
      <w:r w:rsidRPr="00A82562">
        <w:rPr>
          <w:rFonts w:ascii="Verdana" w:hAnsi="Verdana"/>
          <w:i/>
          <w:iCs/>
          <w:color w:val="000000" w:themeColor="text1"/>
          <w:sz w:val="16"/>
          <w:szCs w:val="16"/>
          <w:lang w:val="en-GB"/>
        </w:rPr>
        <w:t xml:space="preserve"> Information is based on main models and pooled data when available (if not, data of separate models/classes was used). Some studies included more than one attribute related to a particular domain. Totals could hence exceed the total number of studies incorporated.</w:t>
      </w:r>
    </w:p>
    <w:p w:rsidR="00491E89" w:rsidRPr="00A82562" w:rsidRDefault="00491E89" w:rsidP="00233761">
      <w:pPr>
        <w:spacing w:line="360" w:lineRule="auto"/>
        <w:rPr>
          <w:rFonts w:ascii="Verdana" w:hAnsi="Verdana"/>
          <w:i/>
          <w:iCs/>
          <w:color w:val="000000" w:themeColor="text1"/>
          <w:sz w:val="20"/>
          <w:szCs w:val="20"/>
          <w:lang w:val="en-GB"/>
        </w:rPr>
      </w:pPr>
    </w:p>
    <w:p w:rsidR="00233761" w:rsidRPr="00A82562" w:rsidRDefault="00233761" w:rsidP="00823E4F">
      <w:pPr>
        <w:spacing w:line="480" w:lineRule="auto"/>
        <w:rPr>
          <w:rFonts w:ascii="Verdana" w:hAnsi="Verdana"/>
          <w:i/>
          <w:iCs/>
          <w:color w:val="000000" w:themeColor="text1"/>
          <w:sz w:val="20"/>
          <w:szCs w:val="20"/>
          <w:lang w:val="en-GB"/>
        </w:rPr>
      </w:pPr>
      <w:r w:rsidRPr="00A82562">
        <w:rPr>
          <w:rFonts w:ascii="Verdana" w:hAnsi="Verdana"/>
          <w:i/>
          <w:iCs/>
          <w:color w:val="000000" w:themeColor="text1"/>
          <w:sz w:val="20"/>
          <w:szCs w:val="20"/>
          <w:lang w:val="en-GB"/>
        </w:rPr>
        <w:t>Overall preferences and comparison of vaccinees and representatives</w:t>
      </w:r>
    </w:p>
    <w:p w:rsidR="00233761" w:rsidRPr="00A82562" w:rsidRDefault="00233761" w:rsidP="00823E4F">
      <w:pPr>
        <w:spacing w:line="480" w:lineRule="auto"/>
        <w:rPr>
          <w:rFonts w:ascii="Verdana" w:hAnsi="Verdana"/>
          <w:color w:val="000000" w:themeColor="text1"/>
          <w:sz w:val="20"/>
          <w:szCs w:val="20"/>
          <w:lang w:val="en-GB"/>
        </w:rPr>
      </w:pPr>
      <w:r w:rsidRPr="00A82562">
        <w:rPr>
          <w:rFonts w:ascii="Verdana" w:hAnsi="Verdana"/>
          <w:color w:val="000000" w:themeColor="text1"/>
          <w:sz w:val="20"/>
          <w:szCs w:val="20"/>
          <w:lang w:val="en-GB"/>
        </w:rPr>
        <w:t>High- and lower-quality studies used 2</w:t>
      </w:r>
      <w:r w:rsidR="00642039" w:rsidRPr="00A82562">
        <w:rPr>
          <w:rFonts w:ascii="Verdana" w:hAnsi="Verdana"/>
          <w:color w:val="000000" w:themeColor="text1"/>
          <w:sz w:val="20"/>
          <w:szCs w:val="20"/>
          <w:lang w:val="en-GB"/>
        </w:rPr>
        <w:t>43</w:t>
      </w:r>
      <w:r w:rsidRPr="00A82562">
        <w:rPr>
          <w:rFonts w:ascii="Verdana" w:hAnsi="Verdana"/>
          <w:color w:val="000000" w:themeColor="text1"/>
          <w:sz w:val="20"/>
          <w:szCs w:val="20"/>
          <w:lang w:val="en-GB"/>
        </w:rPr>
        <w:t xml:space="preserve"> attributes in total,</w:t>
      </w:r>
      <w:r w:rsidR="00D04396" w:rsidRPr="00A82562">
        <w:rPr>
          <w:rFonts w:ascii="Verdana" w:hAnsi="Verdana"/>
          <w:color w:val="000000" w:themeColor="text1"/>
          <w:sz w:val="20"/>
          <w:szCs w:val="20"/>
          <w:lang w:val="en-GB"/>
        </w:rPr>
        <w:t xml:space="preserve"> of which 39.1% were classified as outcome, 24.3% as process, 12.8% as cost and 23.9% as other. </w:t>
      </w:r>
      <w:r w:rsidRPr="00A82562">
        <w:rPr>
          <w:rFonts w:ascii="Verdana" w:hAnsi="Verdana"/>
          <w:color w:val="000000" w:themeColor="text1"/>
          <w:sz w:val="20"/>
          <w:szCs w:val="20"/>
          <w:lang w:val="en-GB"/>
        </w:rPr>
        <w:t xml:space="preserve">Compared to high-quality studies, two domains were introduced by lower-quality studies (vaccine content and other). Four of the five most popular attributes among high-quality studies were also most frequently reported among all studies (Figure 1). As shown in Additional file 6, minor sequence changes took place by including lower-quality studies. </w:t>
      </w:r>
      <w:r w:rsidR="00272DE5" w:rsidRPr="00A82562">
        <w:rPr>
          <w:rFonts w:ascii="Verdana" w:hAnsi="Verdana"/>
          <w:color w:val="000000" w:themeColor="text1"/>
          <w:sz w:val="20"/>
          <w:szCs w:val="20"/>
          <w:lang w:val="en-GB"/>
        </w:rPr>
        <w:t>Outcome measures v</w:t>
      </w:r>
      <w:r w:rsidRPr="00A82562">
        <w:rPr>
          <w:rFonts w:ascii="Verdana" w:hAnsi="Verdana"/>
          <w:color w:val="000000" w:themeColor="text1"/>
          <w:sz w:val="20"/>
          <w:szCs w:val="20"/>
          <w:lang w:val="en-GB"/>
        </w:rPr>
        <w:t xml:space="preserve">accine effectiveness and vaccine risk changed places (rank 1 and 2) as well as protection duration and disease risk (rank 4 and 6). In line with the high-quality studies, </w:t>
      </w:r>
      <w:r w:rsidR="00272DE5" w:rsidRPr="00A82562">
        <w:rPr>
          <w:rFonts w:ascii="Verdana" w:hAnsi="Verdana"/>
          <w:color w:val="000000" w:themeColor="text1"/>
          <w:sz w:val="20"/>
          <w:szCs w:val="20"/>
          <w:lang w:val="en-GB"/>
        </w:rPr>
        <w:t>process-related</w:t>
      </w:r>
      <w:r w:rsidRPr="00A82562">
        <w:rPr>
          <w:rFonts w:ascii="Verdana" w:hAnsi="Verdana"/>
          <w:color w:val="000000" w:themeColor="text1"/>
          <w:sz w:val="20"/>
          <w:szCs w:val="20"/>
          <w:lang w:val="en-GB"/>
        </w:rPr>
        <w:t xml:space="preserve"> </w:t>
      </w:r>
      <w:r w:rsidR="00272DE5" w:rsidRPr="00A82562">
        <w:rPr>
          <w:rFonts w:ascii="Verdana" w:hAnsi="Verdana"/>
          <w:color w:val="000000" w:themeColor="text1"/>
          <w:sz w:val="20"/>
          <w:szCs w:val="20"/>
          <w:lang w:val="en-GB"/>
        </w:rPr>
        <w:t xml:space="preserve">domains </w:t>
      </w:r>
      <w:r w:rsidRPr="00A82562">
        <w:rPr>
          <w:rFonts w:ascii="Verdana" w:hAnsi="Verdana"/>
          <w:color w:val="000000" w:themeColor="text1"/>
          <w:sz w:val="20"/>
          <w:szCs w:val="20"/>
          <w:lang w:val="en-GB"/>
        </w:rPr>
        <w:t>were least reported</w:t>
      </w:r>
      <w:r w:rsidR="00272DE5" w:rsidRPr="00A82562">
        <w:rPr>
          <w:rFonts w:ascii="Verdana" w:hAnsi="Verdana"/>
          <w:color w:val="000000" w:themeColor="text1"/>
          <w:sz w:val="20"/>
          <w:szCs w:val="20"/>
          <w:lang w:val="en-GB"/>
        </w:rPr>
        <w:t xml:space="preserve"> (esp. target group)</w:t>
      </w:r>
      <w:r w:rsidRPr="00A82562">
        <w:rPr>
          <w:rFonts w:ascii="Verdana" w:hAnsi="Verdana"/>
          <w:color w:val="000000" w:themeColor="text1"/>
          <w:sz w:val="20"/>
          <w:szCs w:val="20"/>
          <w:lang w:val="en-GB"/>
        </w:rPr>
        <w:t>.</w:t>
      </w:r>
    </w:p>
    <w:p w:rsidR="00491E89" w:rsidRPr="00A82562" w:rsidRDefault="00233761" w:rsidP="00823E4F">
      <w:pPr>
        <w:spacing w:line="480" w:lineRule="auto"/>
        <w:ind w:firstLine="708"/>
        <w:rPr>
          <w:rFonts w:ascii="Verdana" w:hAnsi="Verdana"/>
          <w:color w:val="000000" w:themeColor="text1"/>
          <w:sz w:val="20"/>
          <w:szCs w:val="20"/>
          <w:lang w:val="en-GB"/>
        </w:rPr>
      </w:pPr>
      <w:r w:rsidRPr="00A82562">
        <w:rPr>
          <w:rFonts w:ascii="Verdana" w:hAnsi="Verdana"/>
          <w:color w:val="000000" w:themeColor="text1"/>
          <w:sz w:val="20"/>
          <w:szCs w:val="20"/>
          <w:lang w:val="en-GB"/>
        </w:rPr>
        <w:t>Statistical significance was reported (or could be determined) in 3</w:t>
      </w:r>
      <w:r w:rsidR="00BD156E" w:rsidRPr="00A82562">
        <w:rPr>
          <w:rFonts w:ascii="Verdana" w:hAnsi="Verdana"/>
          <w:color w:val="000000" w:themeColor="text1"/>
          <w:sz w:val="20"/>
          <w:szCs w:val="20"/>
          <w:lang w:val="en-GB"/>
        </w:rPr>
        <w:t>8</w:t>
      </w:r>
      <w:r w:rsidRPr="00A82562">
        <w:rPr>
          <w:rFonts w:ascii="Verdana" w:hAnsi="Verdana"/>
          <w:color w:val="000000" w:themeColor="text1"/>
          <w:sz w:val="20"/>
          <w:szCs w:val="20"/>
          <w:lang w:val="en-GB"/>
        </w:rPr>
        <w:t xml:space="preserve"> studies and was defined by five different alphas ranging from p&lt;0.10 to p&lt;0.0001 (Additional file 7). All domains that were most and least commonly statistically significant were in correspondence with high-quality studies, except for disease risk</w:t>
      </w:r>
      <w:r w:rsidR="00272DE5" w:rsidRPr="00A82562">
        <w:rPr>
          <w:rFonts w:ascii="Verdana" w:hAnsi="Verdana"/>
          <w:color w:val="000000" w:themeColor="text1"/>
          <w:sz w:val="20"/>
          <w:szCs w:val="20"/>
          <w:lang w:val="en-GB"/>
        </w:rPr>
        <w:t xml:space="preserve"> (other)</w:t>
      </w:r>
      <w:r w:rsidR="00BD156E" w:rsidRPr="00A82562">
        <w:rPr>
          <w:rFonts w:ascii="Verdana" w:hAnsi="Verdana"/>
          <w:color w:val="000000" w:themeColor="text1"/>
          <w:sz w:val="20"/>
          <w:szCs w:val="20"/>
          <w:lang w:val="en-GB"/>
        </w:rPr>
        <w:t xml:space="preserve"> and service delivery</w:t>
      </w:r>
      <w:r w:rsidR="00272DE5" w:rsidRPr="00A82562">
        <w:rPr>
          <w:rFonts w:ascii="Verdana" w:hAnsi="Verdana"/>
          <w:color w:val="000000" w:themeColor="text1"/>
          <w:sz w:val="20"/>
          <w:szCs w:val="20"/>
          <w:lang w:val="en-GB"/>
        </w:rPr>
        <w:t xml:space="preserve"> (process)</w:t>
      </w:r>
      <w:r w:rsidRPr="00A82562">
        <w:rPr>
          <w:rFonts w:ascii="Verdana" w:hAnsi="Verdana"/>
          <w:color w:val="000000" w:themeColor="text1"/>
          <w:sz w:val="20"/>
          <w:szCs w:val="20"/>
          <w:lang w:val="en-GB"/>
        </w:rPr>
        <w:t>.</w:t>
      </w:r>
    </w:p>
    <w:p w:rsidR="00491E89" w:rsidRPr="00A82562" w:rsidRDefault="00AA4C36" w:rsidP="00491E89">
      <w:pPr>
        <w:spacing w:line="360" w:lineRule="auto"/>
        <w:rPr>
          <w:rFonts w:ascii="Verdana" w:hAnsi="Verdana"/>
          <w:color w:val="000000" w:themeColor="text1"/>
          <w:sz w:val="20"/>
          <w:szCs w:val="20"/>
          <w:lang w:val="en-GB"/>
        </w:rPr>
      </w:pPr>
      <w:r w:rsidRPr="00A82562">
        <w:rPr>
          <w:rFonts w:ascii="Verdana" w:hAnsi="Verdana"/>
          <w:noProof/>
          <w:color w:val="000000" w:themeColor="text1"/>
          <w:sz w:val="20"/>
          <w:szCs w:val="20"/>
          <w:lang w:val="en-GB"/>
        </w:rPr>
        <w:lastRenderedPageBreak/>
        <w:drawing>
          <wp:anchor distT="0" distB="0" distL="114300" distR="114300" simplePos="0" relativeHeight="251659264" behindDoc="1" locked="0" layoutInCell="1" allowOverlap="1" wp14:anchorId="12390E53" wp14:editId="31E72EFD">
            <wp:simplePos x="0" y="0"/>
            <wp:positionH relativeFrom="column">
              <wp:posOffset>-93980</wp:posOffset>
            </wp:positionH>
            <wp:positionV relativeFrom="paragraph">
              <wp:posOffset>227330</wp:posOffset>
            </wp:positionV>
            <wp:extent cx="6030595" cy="3742690"/>
            <wp:effectExtent l="0" t="0" r="14605" b="16510"/>
            <wp:wrapTight wrapText="bothSides">
              <wp:wrapPolygon edited="0">
                <wp:start x="0" y="0"/>
                <wp:lineTo x="0" y="21622"/>
                <wp:lineTo x="21607" y="21622"/>
                <wp:lineTo x="21607" y="0"/>
                <wp:lineTo x="0" y="0"/>
              </wp:wrapPolygon>
            </wp:wrapTight>
            <wp:docPr id="8" name="Grafiek 8"/>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14:sizeRelH relativeFrom="page">
              <wp14:pctWidth>0</wp14:pctWidth>
            </wp14:sizeRelH>
            <wp14:sizeRelV relativeFrom="page">
              <wp14:pctHeight>0</wp14:pctHeight>
            </wp14:sizeRelV>
          </wp:anchor>
        </w:drawing>
      </w:r>
    </w:p>
    <w:p w:rsidR="00491E89" w:rsidRPr="00A82562" w:rsidRDefault="00491E89" w:rsidP="00491E89">
      <w:pPr>
        <w:spacing w:line="360" w:lineRule="auto"/>
        <w:rPr>
          <w:rFonts w:ascii="Verdana" w:hAnsi="Verdana"/>
          <w:b/>
          <w:bCs/>
          <w:color w:val="000000" w:themeColor="text1"/>
          <w:sz w:val="20"/>
          <w:szCs w:val="20"/>
          <w:lang w:val="en-GB"/>
        </w:rPr>
      </w:pPr>
      <w:r w:rsidRPr="00A82562">
        <w:rPr>
          <w:rFonts w:ascii="Verdana" w:hAnsi="Verdana"/>
          <w:b/>
          <w:bCs/>
          <w:color w:val="000000" w:themeColor="text1"/>
          <w:sz w:val="18"/>
          <w:szCs w:val="18"/>
          <w:lang w:val="en-GB"/>
        </w:rPr>
        <w:t>Figure 1</w:t>
      </w:r>
      <w:r w:rsidRPr="00A82562">
        <w:rPr>
          <w:rFonts w:ascii="Verdana" w:hAnsi="Verdana"/>
          <w:b/>
          <w:bCs/>
          <w:color w:val="000000" w:themeColor="text1"/>
          <w:sz w:val="20"/>
          <w:szCs w:val="20"/>
          <w:lang w:val="en-GB"/>
        </w:rPr>
        <w:t xml:space="preserve"> </w:t>
      </w:r>
      <w:r w:rsidRPr="00A82562">
        <w:rPr>
          <w:rFonts w:ascii="Verdana" w:hAnsi="Verdana"/>
          <w:b/>
          <w:bCs/>
          <w:color w:val="000000" w:themeColor="text1"/>
          <w:sz w:val="16"/>
          <w:szCs w:val="16"/>
          <w:lang w:val="en-GB"/>
        </w:rPr>
        <w:t>Frequency of domains among all studies</w:t>
      </w:r>
      <w:r w:rsidRPr="00A82562">
        <w:rPr>
          <w:rFonts w:ascii="Verdana" w:hAnsi="Verdana"/>
          <w:b/>
          <w:bCs/>
          <w:color w:val="000000" w:themeColor="text1"/>
          <w:sz w:val="20"/>
          <w:szCs w:val="20"/>
          <w:lang w:val="en-GB"/>
        </w:rPr>
        <w:t xml:space="preserve"> </w:t>
      </w:r>
    </w:p>
    <w:p w:rsidR="00233761" w:rsidRPr="00A82562" w:rsidRDefault="00233761" w:rsidP="00491E89">
      <w:pPr>
        <w:spacing w:line="360" w:lineRule="auto"/>
        <w:rPr>
          <w:rFonts w:ascii="Verdana" w:hAnsi="Verdana"/>
          <w:color w:val="000000" w:themeColor="text1"/>
          <w:sz w:val="20"/>
          <w:szCs w:val="20"/>
          <w:lang w:val="en-GB"/>
        </w:rPr>
      </w:pPr>
      <w:r w:rsidRPr="00A82562">
        <w:rPr>
          <w:rFonts w:ascii="Verdana" w:hAnsi="Verdana"/>
          <w:color w:val="000000" w:themeColor="text1"/>
          <w:sz w:val="20"/>
          <w:szCs w:val="20"/>
          <w:lang w:val="en-GB"/>
        </w:rPr>
        <w:t xml:space="preserve"> </w:t>
      </w:r>
    </w:p>
    <w:p w:rsidR="00823E4F" w:rsidRPr="00A82562" w:rsidRDefault="00823E4F" w:rsidP="00491E89">
      <w:pPr>
        <w:spacing w:line="360" w:lineRule="auto"/>
        <w:rPr>
          <w:rFonts w:ascii="Verdana" w:hAnsi="Verdana"/>
          <w:color w:val="000000" w:themeColor="text1"/>
          <w:sz w:val="20"/>
          <w:szCs w:val="20"/>
          <w:lang w:val="en-GB"/>
        </w:rPr>
      </w:pPr>
    </w:p>
    <w:p w:rsidR="00270019" w:rsidRPr="00A82562" w:rsidRDefault="00270019" w:rsidP="00491E89">
      <w:pPr>
        <w:spacing w:line="360" w:lineRule="auto"/>
        <w:rPr>
          <w:rFonts w:ascii="Verdana" w:hAnsi="Verdana"/>
          <w:color w:val="000000" w:themeColor="text1"/>
          <w:sz w:val="20"/>
          <w:szCs w:val="20"/>
          <w:lang w:val="en-GB"/>
        </w:rPr>
      </w:pPr>
    </w:p>
    <w:p w:rsidR="00823E4F" w:rsidRPr="00A82562" w:rsidRDefault="00823E4F" w:rsidP="00491E89">
      <w:pPr>
        <w:spacing w:line="360" w:lineRule="auto"/>
        <w:rPr>
          <w:rFonts w:ascii="Verdana" w:hAnsi="Verdana"/>
          <w:b/>
          <w:bCs/>
          <w:color w:val="000000" w:themeColor="text1"/>
          <w:sz w:val="20"/>
          <w:szCs w:val="20"/>
          <w:lang w:val="en-GB"/>
        </w:rPr>
      </w:pPr>
      <w:r w:rsidRPr="00A82562">
        <w:rPr>
          <w:rFonts w:ascii="Verdana" w:hAnsi="Verdana"/>
          <w:b/>
          <w:bCs/>
          <w:color w:val="000000" w:themeColor="text1"/>
          <w:sz w:val="20"/>
          <w:szCs w:val="20"/>
          <w:lang w:val="en-GB"/>
        </w:rPr>
        <w:t>References</w:t>
      </w:r>
    </w:p>
    <w:p w:rsidR="00823E4F" w:rsidRPr="00A82562" w:rsidRDefault="00823E4F" w:rsidP="00823E4F">
      <w:pPr>
        <w:spacing w:line="360" w:lineRule="auto"/>
        <w:rPr>
          <w:rFonts w:ascii="Verdana" w:hAnsi="Verdana"/>
          <w:color w:val="000000" w:themeColor="text1"/>
          <w:sz w:val="20"/>
          <w:szCs w:val="20"/>
          <w:lang w:val="en-GB"/>
        </w:rPr>
      </w:pPr>
      <w:r w:rsidRPr="00A82562">
        <w:rPr>
          <w:rFonts w:ascii="Verdana" w:hAnsi="Verdana"/>
          <w:color w:val="000000" w:themeColor="text1"/>
          <w:sz w:val="20"/>
          <w:szCs w:val="20"/>
          <w:lang w:val="en-US"/>
        </w:rPr>
        <w:t xml:space="preserve">1.Verelst F, Kessels R, Delva W, Beutels P, Willem L. Drivers of vaccine decision-making in South Africa: A discrete choice experiment. </w:t>
      </w:r>
      <w:r w:rsidRPr="00A82562">
        <w:rPr>
          <w:rFonts w:ascii="Verdana" w:hAnsi="Verdana"/>
          <w:color w:val="000000" w:themeColor="text1"/>
          <w:sz w:val="20"/>
          <w:szCs w:val="20"/>
          <w:lang w:val="en-GB"/>
        </w:rPr>
        <w:t>Vaccine. 2019;37(15):2079-89.</w:t>
      </w:r>
    </w:p>
    <w:p w:rsidR="00823E4F" w:rsidRPr="00A82562" w:rsidRDefault="00823E4F" w:rsidP="00823E4F">
      <w:pPr>
        <w:spacing w:line="360" w:lineRule="auto"/>
        <w:rPr>
          <w:rFonts w:ascii="Verdana" w:hAnsi="Verdana"/>
          <w:color w:val="000000" w:themeColor="text1"/>
          <w:sz w:val="20"/>
          <w:szCs w:val="20"/>
          <w:lang w:val="en-US"/>
        </w:rPr>
      </w:pPr>
      <w:r w:rsidRPr="00A82562">
        <w:rPr>
          <w:rFonts w:ascii="Verdana" w:hAnsi="Verdana"/>
          <w:color w:val="000000" w:themeColor="text1"/>
          <w:sz w:val="20"/>
          <w:szCs w:val="20"/>
          <w:lang w:val="en-US"/>
        </w:rPr>
        <w:t xml:space="preserve">2. Marshall HS, Chen G, Clark M, Ratcliffe J. Adolescent, parent and societal preferences and willingness to pay for meningococcal B vaccine: A discrete choice experiment. Vaccine. 2016;34(5):671-7. </w:t>
      </w:r>
    </w:p>
    <w:p w:rsidR="00823E4F" w:rsidRPr="00A82562" w:rsidRDefault="00823E4F" w:rsidP="00823E4F">
      <w:pPr>
        <w:spacing w:line="360" w:lineRule="auto"/>
        <w:rPr>
          <w:rFonts w:ascii="Verdana" w:hAnsi="Verdana"/>
          <w:color w:val="000000" w:themeColor="text1"/>
          <w:sz w:val="20"/>
          <w:szCs w:val="20"/>
          <w:lang w:val="en-GB"/>
        </w:rPr>
      </w:pPr>
    </w:p>
    <w:p w:rsidR="00233761" w:rsidRPr="00A82562" w:rsidRDefault="00233761" w:rsidP="00233761">
      <w:pPr>
        <w:spacing w:line="360" w:lineRule="auto"/>
        <w:rPr>
          <w:rFonts w:ascii="Verdana" w:hAnsi="Verdana"/>
          <w:color w:val="000000" w:themeColor="text1"/>
          <w:sz w:val="20"/>
          <w:szCs w:val="20"/>
          <w:lang w:val="en-GB"/>
        </w:rPr>
      </w:pPr>
    </w:p>
    <w:p w:rsidR="002F72A2" w:rsidRPr="00A82562" w:rsidRDefault="002F72A2">
      <w:pPr>
        <w:rPr>
          <w:color w:val="000000" w:themeColor="text1"/>
          <w:sz w:val="20"/>
          <w:szCs w:val="20"/>
          <w:lang w:val="en-US"/>
        </w:rPr>
      </w:pPr>
    </w:p>
    <w:p w:rsidR="002F72A2" w:rsidRPr="00A82562" w:rsidRDefault="002F72A2">
      <w:pPr>
        <w:rPr>
          <w:color w:val="000000" w:themeColor="text1"/>
          <w:sz w:val="20"/>
          <w:szCs w:val="20"/>
          <w:lang w:val="en-US"/>
        </w:rPr>
      </w:pPr>
    </w:p>
    <w:sectPr w:rsidR="002F72A2" w:rsidRPr="00A82562" w:rsidSect="006C48B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F175A1D"/>
    <w:multiLevelType w:val="hybridMultilevel"/>
    <w:tmpl w:val="086693B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761"/>
    <w:rsid w:val="0007562B"/>
    <w:rsid w:val="00187835"/>
    <w:rsid w:val="001C1A92"/>
    <w:rsid w:val="00212ECF"/>
    <w:rsid w:val="002141E8"/>
    <w:rsid w:val="00233761"/>
    <w:rsid w:val="00270019"/>
    <w:rsid w:val="00272DE5"/>
    <w:rsid w:val="002910C9"/>
    <w:rsid w:val="002F4E20"/>
    <w:rsid w:val="002F72A2"/>
    <w:rsid w:val="00375C9C"/>
    <w:rsid w:val="003B297F"/>
    <w:rsid w:val="003E7092"/>
    <w:rsid w:val="0043753C"/>
    <w:rsid w:val="004579DD"/>
    <w:rsid w:val="00491E89"/>
    <w:rsid w:val="006373FC"/>
    <w:rsid w:val="00642039"/>
    <w:rsid w:val="00650930"/>
    <w:rsid w:val="006C48B5"/>
    <w:rsid w:val="007219A8"/>
    <w:rsid w:val="0081280C"/>
    <w:rsid w:val="00823E4F"/>
    <w:rsid w:val="00931C36"/>
    <w:rsid w:val="009470DE"/>
    <w:rsid w:val="009805D7"/>
    <w:rsid w:val="0098471B"/>
    <w:rsid w:val="0099036F"/>
    <w:rsid w:val="00A23881"/>
    <w:rsid w:val="00A82562"/>
    <w:rsid w:val="00AA4C36"/>
    <w:rsid w:val="00AD5550"/>
    <w:rsid w:val="00B12842"/>
    <w:rsid w:val="00BC10E3"/>
    <w:rsid w:val="00BD156E"/>
    <w:rsid w:val="00C33AE3"/>
    <w:rsid w:val="00CE67F9"/>
    <w:rsid w:val="00D04396"/>
    <w:rsid w:val="00D22D91"/>
    <w:rsid w:val="00D87931"/>
    <w:rsid w:val="00DA2BBF"/>
    <w:rsid w:val="00F34255"/>
    <w:rsid w:val="00FE3EC4"/>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98ACDA3D-6BFA-E84B-9D30-6A2188789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nl-NL"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33761"/>
    <w:rPr>
      <w:rFonts w:ascii="Times New Roman" w:eastAsia="Times New Roman" w:hAnsi="Times New Roman" w:cs="Times New Roma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2337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uiPriority w:val="99"/>
    <w:semiHidden/>
    <w:unhideWhenUsed/>
    <w:rsid w:val="00C33AE3"/>
    <w:rPr>
      <w:sz w:val="18"/>
      <w:szCs w:val="18"/>
    </w:rPr>
  </w:style>
  <w:style w:type="character" w:customStyle="1" w:styleId="BallontekstChar">
    <w:name w:val="Ballontekst Char"/>
    <w:basedOn w:val="Standaardalinea-lettertype"/>
    <w:link w:val="Ballontekst"/>
    <w:uiPriority w:val="99"/>
    <w:semiHidden/>
    <w:rsid w:val="00C33AE3"/>
    <w:rPr>
      <w:rFonts w:ascii="Times New Roman" w:eastAsia="Times New Roman" w:hAnsi="Times New Roman" w:cs="Times New Roman"/>
      <w:sz w:val="18"/>
      <w:szCs w:val="18"/>
    </w:rPr>
  </w:style>
  <w:style w:type="paragraph" w:styleId="Lijstalinea">
    <w:name w:val="List Paragraph"/>
    <w:basedOn w:val="Standaard"/>
    <w:uiPriority w:val="34"/>
    <w:qFormat/>
    <w:rsid w:val="00823E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3813436">
      <w:bodyDiv w:val="1"/>
      <w:marLeft w:val="0"/>
      <w:marRight w:val="0"/>
      <w:marTop w:val="0"/>
      <w:marBottom w:val="0"/>
      <w:divBdr>
        <w:top w:val="none" w:sz="0" w:space="0" w:color="auto"/>
        <w:left w:val="none" w:sz="0" w:space="0" w:color="auto"/>
        <w:bottom w:val="none" w:sz="0" w:space="0" w:color="auto"/>
        <w:right w:val="none" w:sz="0" w:space="0" w:color="auto"/>
      </w:divBdr>
      <w:divsChild>
        <w:div w:id="1389263758">
          <w:marLeft w:val="0"/>
          <w:marRight w:val="0"/>
          <w:marTop w:val="0"/>
          <w:marBottom w:val="0"/>
          <w:divBdr>
            <w:top w:val="none" w:sz="0" w:space="0" w:color="auto"/>
            <w:left w:val="none" w:sz="0" w:space="0" w:color="auto"/>
            <w:bottom w:val="none" w:sz="0" w:space="0" w:color="auto"/>
            <w:right w:val="none" w:sz="0" w:space="0" w:color="auto"/>
          </w:divBdr>
          <w:divsChild>
            <w:div w:id="2040202649">
              <w:marLeft w:val="0"/>
              <w:marRight w:val="0"/>
              <w:marTop w:val="0"/>
              <w:marBottom w:val="0"/>
              <w:divBdr>
                <w:top w:val="none" w:sz="0" w:space="0" w:color="auto"/>
                <w:left w:val="none" w:sz="0" w:space="0" w:color="auto"/>
                <w:bottom w:val="none" w:sz="0" w:space="0" w:color="auto"/>
                <w:right w:val="none" w:sz="0" w:space="0" w:color="auto"/>
              </w:divBdr>
              <w:divsChild>
                <w:div w:id="3142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516667">
      <w:bodyDiv w:val="1"/>
      <w:marLeft w:val="0"/>
      <w:marRight w:val="0"/>
      <w:marTop w:val="0"/>
      <w:marBottom w:val="0"/>
      <w:divBdr>
        <w:top w:val="none" w:sz="0" w:space="0" w:color="auto"/>
        <w:left w:val="none" w:sz="0" w:space="0" w:color="auto"/>
        <w:bottom w:val="none" w:sz="0" w:space="0" w:color="auto"/>
        <w:right w:val="none" w:sz="0" w:space="0" w:color="auto"/>
      </w:divBdr>
      <w:divsChild>
        <w:div w:id="372385631">
          <w:marLeft w:val="0"/>
          <w:marRight w:val="0"/>
          <w:marTop w:val="0"/>
          <w:marBottom w:val="0"/>
          <w:divBdr>
            <w:top w:val="none" w:sz="0" w:space="0" w:color="auto"/>
            <w:left w:val="none" w:sz="0" w:space="0" w:color="auto"/>
            <w:bottom w:val="none" w:sz="0" w:space="0" w:color="auto"/>
            <w:right w:val="none" w:sz="0" w:space="0" w:color="auto"/>
          </w:divBdr>
          <w:divsChild>
            <w:div w:id="2031956552">
              <w:marLeft w:val="0"/>
              <w:marRight w:val="0"/>
              <w:marTop w:val="0"/>
              <w:marBottom w:val="0"/>
              <w:divBdr>
                <w:top w:val="none" w:sz="0" w:space="0" w:color="auto"/>
                <w:left w:val="none" w:sz="0" w:space="0" w:color="auto"/>
                <w:bottom w:val="none" w:sz="0" w:space="0" w:color="auto"/>
                <w:right w:val="none" w:sz="0" w:space="0" w:color="auto"/>
              </w:divBdr>
              <w:divsChild>
                <w:div w:id="158880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0644492">
      <w:bodyDiv w:val="1"/>
      <w:marLeft w:val="0"/>
      <w:marRight w:val="0"/>
      <w:marTop w:val="0"/>
      <w:marBottom w:val="0"/>
      <w:divBdr>
        <w:top w:val="none" w:sz="0" w:space="0" w:color="auto"/>
        <w:left w:val="none" w:sz="0" w:space="0" w:color="auto"/>
        <w:bottom w:val="none" w:sz="0" w:space="0" w:color="auto"/>
        <w:right w:val="none" w:sz="0" w:space="0" w:color="auto"/>
      </w:divBdr>
      <w:divsChild>
        <w:div w:id="1881242228">
          <w:marLeft w:val="0"/>
          <w:marRight w:val="0"/>
          <w:marTop w:val="0"/>
          <w:marBottom w:val="0"/>
          <w:divBdr>
            <w:top w:val="none" w:sz="0" w:space="0" w:color="auto"/>
            <w:left w:val="none" w:sz="0" w:space="0" w:color="auto"/>
            <w:bottom w:val="none" w:sz="0" w:space="0" w:color="auto"/>
            <w:right w:val="none" w:sz="0" w:space="0" w:color="auto"/>
          </w:divBdr>
          <w:divsChild>
            <w:div w:id="1544949147">
              <w:marLeft w:val="0"/>
              <w:marRight w:val="0"/>
              <w:marTop w:val="0"/>
              <w:marBottom w:val="0"/>
              <w:divBdr>
                <w:top w:val="none" w:sz="0" w:space="0" w:color="auto"/>
                <w:left w:val="none" w:sz="0" w:space="0" w:color="auto"/>
                <w:bottom w:val="none" w:sz="0" w:space="0" w:color="auto"/>
                <w:right w:val="none" w:sz="0" w:space="0" w:color="auto"/>
              </w:divBdr>
              <w:divsChild>
                <w:div w:id="1625429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979773">
      <w:bodyDiv w:val="1"/>
      <w:marLeft w:val="0"/>
      <w:marRight w:val="0"/>
      <w:marTop w:val="0"/>
      <w:marBottom w:val="0"/>
      <w:divBdr>
        <w:top w:val="none" w:sz="0" w:space="0" w:color="auto"/>
        <w:left w:val="none" w:sz="0" w:space="0" w:color="auto"/>
        <w:bottom w:val="none" w:sz="0" w:space="0" w:color="auto"/>
        <w:right w:val="none" w:sz="0" w:space="0" w:color="auto"/>
      </w:divBdr>
      <w:divsChild>
        <w:div w:id="704794676">
          <w:marLeft w:val="0"/>
          <w:marRight w:val="0"/>
          <w:marTop w:val="0"/>
          <w:marBottom w:val="0"/>
          <w:divBdr>
            <w:top w:val="none" w:sz="0" w:space="0" w:color="auto"/>
            <w:left w:val="none" w:sz="0" w:space="0" w:color="auto"/>
            <w:bottom w:val="none" w:sz="0" w:space="0" w:color="auto"/>
            <w:right w:val="none" w:sz="0" w:space="0" w:color="auto"/>
          </w:divBdr>
          <w:divsChild>
            <w:div w:id="1021053583">
              <w:marLeft w:val="0"/>
              <w:marRight w:val="0"/>
              <w:marTop w:val="0"/>
              <w:marBottom w:val="0"/>
              <w:divBdr>
                <w:top w:val="none" w:sz="0" w:space="0" w:color="auto"/>
                <w:left w:val="none" w:sz="0" w:space="0" w:color="auto"/>
                <w:bottom w:val="none" w:sz="0" w:space="0" w:color="auto"/>
                <w:right w:val="none" w:sz="0" w:space="0" w:color="auto"/>
              </w:divBdr>
              <w:divsChild>
                <w:div w:id="166897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werkblad.xlsx"/><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7482735948940368E-2"/>
          <c:y val="5.0202928909420762E-2"/>
          <c:w val="0.9190529308836396"/>
          <c:h val="0.5240348081489814"/>
        </c:manualLayout>
      </c:layout>
      <c:barChart>
        <c:barDir val="col"/>
        <c:grouping val="clustered"/>
        <c:varyColors val="0"/>
        <c:ser>
          <c:idx val="0"/>
          <c:order val="0"/>
          <c:tx>
            <c:strRef>
              <c:f>Blad1!$B$1</c:f>
              <c:strCache>
                <c:ptCount val="1"/>
                <c:pt idx="0">
                  <c:v>Vaccinees</c:v>
                </c:pt>
              </c:strCache>
            </c:strRef>
          </c:tx>
          <c:spPr>
            <a:solidFill>
              <a:schemeClr val="tx1"/>
            </a:solidFill>
            <a:ln>
              <a:noFill/>
            </a:ln>
            <a:effectLst/>
          </c:spPr>
          <c:invertIfNegative val="0"/>
          <c:cat>
            <c:strRef>
              <c:f>Blad1!$A$2:$A$19</c:f>
              <c:strCache>
                <c:ptCount val="18"/>
                <c:pt idx="0">
                  <c:v>Prot. dur.</c:v>
                </c:pt>
                <c:pt idx="1">
                  <c:v>Vacc. effect.</c:v>
                </c:pt>
                <c:pt idx="2">
                  <c:v>Vacc. risk</c:v>
                </c:pt>
                <c:pt idx="3">
                  <c:v>Dosing &amp; visits</c:v>
                </c:pt>
                <c:pt idx="4">
                  <c:v>Serv. delivery</c:v>
                </c:pt>
                <c:pt idx="5">
                  <c:v>Target group</c:v>
                </c:pt>
                <c:pt idx="6">
                  <c:v>Time</c:v>
                </c:pt>
                <c:pt idx="7">
                  <c:v>Vacc. age</c:v>
                </c:pt>
                <c:pt idx="8">
                  <c:v>Vacc. access.</c:v>
                </c:pt>
                <c:pt idx="9">
                  <c:v>Vacc. admin.</c:v>
                </c:pt>
                <c:pt idx="10">
                  <c:v>Vacc. content</c:v>
                </c:pt>
                <c:pt idx="11">
                  <c:v>Cost</c:v>
                </c:pt>
                <c:pt idx="12">
                  <c:v>Context</c:v>
                </c:pt>
                <c:pt idx="13">
                  <c:v>Dis. risk</c:v>
                </c:pt>
                <c:pt idx="14">
                  <c:v>Info</c:v>
                </c:pt>
                <c:pt idx="15">
                  <c:v>Other</c:v>
                </c:pt>
                <c:pt idx="16">
                  <c:v>Other dis. rel. factors</c:v>
                </c:pt>
                <c:pt idx="17">
                  <c:v>Vacc. adv./supp.</c:v>
                </c:pt>
              </c:strCache>
            </c:strRef>
          </c:cat>
          <c:val>
            <c:numRef>
              <c:f>Blad1!$B$2:$B$19</c:f>
              <c:numCache>
                <c:formatCode>General</c:formatCode>
                <c:ptCount val="18"/>
                <c:pt idx="0">
                  <c:v>9</c:v>
                </c:pt>
                <c:pt idx="1">
                  <c:v>16</c:v>
                </c:pt>
                <c:pt idx="2">
                  <c:v>18</c:v>
                </c:pt>
                <c:pt idx="3">
                  <c:v>6</c:v>
                </c:pt>
                <c:pt idx="4">
                  <c:v>3</c:v>
                </c:pt>
                <c:pt idx="5">
                  <c:v>1</c:v>
                </c:pt>
                <c:pt idx="6">
                  <c:v>2</c:v>
                </c:pt>
                <c:pt idx="7">
                  <c:v>2</c:v>
                </c:pt>
                <c:pt idx="8">
                  <c:v>3</c:v>
                </c:pt>
                <c:pt idx="9">
                  <c:v>2</c:v>
                </c:pt>
                <c:pt idx="10">
                  <c:v>0</c:v>
                </c:pt>
                <c:pt idx="11">
                  <c:v>10</c:v>
                </c:pt>
                <c:pt idx="12">
                  <c:v>6</c:v>
                </c:pt>
                <c:pt idx="13">
                  <c:v>10</c:v>
                </c:pt>
                <c:pt idx="14">
                  <c:v>6</c:v>
                </c:pt>
                <c:pt idx="15">
                  <c:v>0</c:v>
                </c:pt>
                <c:pt idx="16">
                  <c:v>3</c:v>
                </c:pt>
                <c:pt idx="17">
                  <c:v>4</c:v>
                </c:pt>
              </c:numCache>
            </c:numRef>
          </c:val>
          <c:extLst>
            <c:ext xmlns:c16="http://schemas.microsoft.com/office/drawing/2014/chart" uri="{C3380CC4-5D6E-409C-BE32-E72D297353CC}">
              <c16:uniqueId val="{00000000-31D5-6040-A339-7FE43B956513}"/>
            </c:ext>
          </c:extLst>
        </c:ser>
        <c:ser>
          <c:idx val="1"/>
          <c:order val="1"/>
          <c:tx>
            <c:strRef>
              <c:f>Blad1!$C$1</c:f>
              <c:strCache>
                <c:ptCount val="1"/>
                <c:pt idx="0">
                  <c:v>Representatives</c:v>
                </c:pt>
              </c:strCache>
            </c:strRef>
          </c:tx>
          <c:spPr>
            <a:solidFill>
              <a:schemeClr val="bg2">
                <a:lumMod val="25000"/>
                <a:alpha val="55000"/>
              </a:schemeClr>
            </a:solidFill>
            <a:ln>
              <a:noFill/>
            </a:ln>
            <a:effectLst/>
          </c:spPr>
          <c:invertIfNegative val="0"/>
          <c:cat>
            <c:strRef>
              <c:f>Blad1!$A$2:$A$19</c:f>
              <c:strCache>
                <c:ptCount val="18"/>
                <c:pt idx="0">
                  <c:v>Prot. dur.</c:v>
                </c:pt>
                <c:pt idx="1">
                  <c:v>Vacc. effect.</c:v>
                </c:pt>
                <c:pt idx="2">
                  <c:v>Vacc. risk</c:v>
                </c:pt>
                <c:pt idx="3">
                  <c:v>Dosing &amp; visits</c:v>
                </c:pt>
                <c:pt idx="4">
                  <c:v>Serv. delivery</c:v>
                </c:pt>
                <c:pt idx="5">
                  <c:v>Target group</c:v>
                </c:pt>
                <c:pt idx="6">
                  <c:v>Time</c:v>
                </c:pt>
                <c:pt idx="7">
                  <c:v>Vacc. age</c:v>
                </c:pt>
                <c:pt idx="8">
                  <c:v>Vacc. access.</c:v>
                </c:pt>
                <c:pt idx="9">
                  <c:v>Vacc. admin.</c:v>
                </c:pt>
                <c:pt idx="10">
                  <c:v>Vacc. content</c:v>
                </c:pt>
                <c:pt idx="11">
                  <c:v>Cost</c:v>
                </c:pt>
                <c:pt idx="12">
                  <c:v>Context</c:v>
                </c:pt>
                <c:pt idx="13">
                  <c:v>Dis. risk</c:v>
                </c:pt>
                <c:pt idx="14">
                  <c:v>Info</c:v>
                </c:pt>
                <c:pt idx="15">
                  <c:v>Other</c:v>
                </c:pt>
                <c:pt idx="16">
                  <c:v>Other dis. rel. factors</c:v>
                </c:pt>
                <c:pt idx="17">
                  <c:v>Vacc. adv./supp.</c:v>
                </c:pt>
              </c:strCache>
            </c:strRef>
          </c:cat>
          <c:val>
            <c:numRef>
              <c:f>Blad1!$C$2:$C$19</c:f>
              <c:numCache>
                <c:formatCode>General</c:formatCode>
                <c:ptCount val="18"/>
                <c:pt idx="0">
                  <c:v>8</c:v>
                </c:pt>
                <c:pt idx="1">
                  <c:v>21</c:v>
                </c:pt>
                <c:pt idx="2">
                  <c:v>23</c:v>
                </c:pt>
                <c:pt idx="3">
                  <c:v>13</c:v>
                </c:pt>
                <c:pt idx="4">
                  <c:v>8</c:v>
                </c:pt>
                <c:pt idx="5">
                  <c:v>2</c:v>
                </c:pt>
                <c:pt idx="6">
                  <c:v>5</c:v>
                </c:pt>
                <c:pt idx="7">
                  <c:v>2</c:v>
                </c:pt>
                <c:pt idx="8">
                  <c:v>2</c:v>
                </c:pt>
                <c:pt idx="9">
                  <c:v>3</c:v>
                </c:pt>
                <c:pt idx="10">
                  <c:v>5</c:v>
                </c:pt>
                <c:pt idx="11">
                  <c:v>21</c:v>
                </c:pt>
                <c:pt idx="12">
                  <c:v>8</c:v>
                </c:pt>
                <c:pt idx="13">
                  <c:v>9</c:v>
                </c:pt>
                <c:pt idx="14">
                  <c:v>4</c:v>
                </c:pt>
                <c:pt idx="15">
                  <c:v>6</c:v>
                </c:pt>
                <c:pt idx="16">
                  <c:v>1</c:v>
                </c:pt>
                <c:pt idx="17">
                  <c:v>1</c:v>
                </c:pt>
              </c:numCache>
            </c:numRef>
          </c:val>
          <c:extLst>
            <c:ext xmlns:c16="http://schemas.microsoft.com/office/drawing/2014/chart" uri="{C3380CC4-5D6E-409C-BE32-E72D297353CC}">
              <c16:uniqueId val="{00000001-31D5-6040-A339-7FE43B956513}"/>
            </c:ext>
          </c:extLst>
        </c:ser>
        <c:ser>
          <c:idx val="2"/>
          <c:order val="2"/>
          <c:tx>
            <c:strRef>
              <c:f>Blad1!$D$1</c:f>
              <c:strCache>
                <c:ptCount val="1"/>
                <c:pt idx="0">
                  <c:v>Overall</c:v>
                </c:pt>
              </c:strCache>
            </c:strRef>
          </c:tx>
          <c:spPr>
            <a:solidFill>
              <a:schemeClr val="bg1">
                <a:lumMod val="85000"/>
              </a:schemeClr>
            </a:solidFill>
            <a:ln>
              <a:noFill/>
            </a:ln>
            <a:effectLst/>
          </c:spPr>
          <c:invertIfNegative val="0"/>
          <c:cat>
            <c:strRef>
              <c:f>Blad1!$A$2:$A$19</c:f>
              <c:strCache>
                <c:ptCount val="18"/>
                <c:pt idx="0">
                  <c:v>Prot. dur.</c:v>
                </c:pt>
                <c:pt idx="1">
                  <c:v>Vacc. effect.</c:v>
                </c:pt>
                <c:pt idx="2">
                  <c:v>Vacc. risk</c:v>
                </c:pt>
                <c:pt idx="3">
                  <c:v>Dosing &amp; visits</c:v>
                </c:pt>
                <c:pt idx="4">
                  <c:v>Serv. delivery</c:v>
                </c:pt>
                <c:pt idx="5">
                  <c:v>Target group</c:v>
                </c:pt>
                <c:pt idx="6">
                  <c:v>Time</c:v>
                </c:pt>
                <c:pt idx="7">
                  <c:v>Vacc. age</c:v>
                </c:pt>
                <c:pt idx="8">
                  <c:v>Vacc. access.</c:v>
                </c:pt>
                <c:pt idx="9">
                  <c:v>Vacc. admin.</c:v>
                </c:pt>
                <c:pt idx="10">
                  <c:v>Vacc. content</c:v>
                </c:pt>
                <c:pt idx="11">
                  <c:v>Cost</c:v>
                </c:pt>
                <c:pt idx="12">
                  <c:v>Context</c:v>
                </c:pt>
                <c:pt idx="13">
                  <c:v>Dis. risk</c:v>
                </c:pt>
                <c:pt idx="14">
                  <c:v>Info</c:v>
                </c:pt>
                <c:pt idx="15">
                  <c:v>Other</c:v>
                </c:pt>
                <c:pt idx="16">
                  <c:v>Other dis. rel. factors</c:v>
                </c:pt>
                <c:pt idx="17">
                  <c:v>Vacc. adv./supp.</c:v>
                </c:pt>
              </c:strCache>
            </c:strRef>
          </c:cat>
          <c:val>
            <c:numRef>
              <c:f>Blad1!$D$2:$D$19</c:f>
              <c:numCache>
                <c:formatCode>General</c:formatCode>
                <c:ptCount val="18"/>
                <c:pt idx="0">
                  <c:v>17</c:v>
                </c:pt>
                <c:pt idx="1">
                  <c:v>37</c:v>
                </c:pt>
                <c:pt idx="2">
                  <c:v>41</c:v>
                </c:pt>
                <c:pt idx="3">
                  <c:v>19</c:v>
                </c:pt>
                <c:pt idx="4">
                  <c:v>11</c:v>
                </c:pt>
                <c:pt idx="5">
                  <c:v>3</c:v>
                </c:pt>
                <c:pt idx="6">
                  <c:v>7</c:v>
                </c:pt>
                <c:pt idx="7">
                  <c:v>4</c:v>
                </c:pt>
                <c:pt idx="8">
                  <c:v>5</c:v>
                </c:pt>
                <c:pt idx="9">
                  <c:v>5</c:v>
                </c:pt>
                <c:pt idx="10">
                  <c:v>5</c:v>
                </c:pt>
                <c:pt idx="11">
                  <c:v>31</c:v>
                </c:pt>
                <c:pt idx="12">
                  <c:v>14</c:v>
                </c:pt>
                <c:pt idx="13">
                  <c:v>19</c:v>
                </c:pt>
                <c:pt idx="14">
                  <c:v>10</c:v>
                </c:pt>
                <c:pt idx="15">
                  <c:v>6</c:v>
                </c:pt>
                <c:pt idx="16">
                  <c:v>4</c:v>
                </c:pt>
                <c:pt idx="17">
                  <c:v>5</c:v>
                </c:pt>
              </c:numCache>
            </c:numRef>
          </c:val>
          <c:extLst>
            <c:ext xmlns:c16="http://schemas.microsoft.com/office/drawing/2014/chart" uri="{C3380CC4-5D6E-409C-BE32-E72D297353CC}">
              <c16:uniqueId val="{00000002-31D5-6040-A339-7FE43B956513}"/>
            </c:ext>
          </c:extLst>
        </c:ser>
        <c:dLbls>
          <c:showLegendKey val="0"/>
          <c:showVal val="0"/>
          <c:showCatName val="0"/>
          <c:showSerName val="0"/>
          <c:showPercent val="0"/>
          <c:showBubbleSize val="0"/>
        </c:dLbls>
        <c:gapWidth val="218"/>
        <c:overlap val="-27"/>
        <c:axId val="1359693840"/>
        <c:axId val="1395136640"/>
      </c:barChart>
      <c:catAx>
        <c:axId val="13596938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nl-NL"/>
          </a:p>
        </c:txPr>
        <c:crossAx val="1395136640"/>
        <c:crosses val="autoZero"/>
        <c:auto val="1"/>
        <c:lblAlgn val="ctr"/>
        <c:lblOffset val="100"/>
        <c:noMultiLvlLbl val="0"/>
      </c:catAx>
      <c:valAx>
        <c:axId val="13951366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nl-NL"/>
          </a:p>
        </c:txPr>
        <c:crossAx val="135969384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nl-N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l-NL"/>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0.0393</cdr:x>
      <cdr:y>0.75738</cdr:y>
    </cdr:from>
    <cdr:to>
      <cdr:x>0.15668</cdr:x>
      <cdr:y>0.80088</cdr:y>
    </cdr:to>
    <cdr:sp macro="" textlink="">
      <cdr:nvSpPr>
        <cdr:cNvPr id="2" name="Vierkante haak links 1"/>
        <cdr:cNvSpPr/>
      </cdr:nvSpPr>
      <cdr:spPr>
        <a:xfrm xmlns:a="http://schemas.openxmlformats.org/drawingml/2006/main" rot="16200000">
          <a:off x="509549" y="2562095"/>
          <a:ext cx="162788" cy="707877"/>
        </a:xfrm>
        <a:prstGeom xmlns:a="http://schemas.openxmlformats.org/drawingml/2006/main" prst="leftBracket">
          <a:avLst/>
        </a:prstGeom>
        <a:noFill xmlns:a="http://schemas.openxmlformats.org/drawingml/2006/main"/>
        <a:ln xmlns:a="http://schemas.openxmlformats.org/drawingml/2006/main">
          <a:solidFill>
            <a:schemeClr val="bg1">
              <a:lumMod val="75000"/>
            </a:schemeClr>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a:lstStyle xmlns:a="http://schemas.openxmlformats.org/drawingml/2006/main">
          <a:lvl1pPr marL="0" indent="0">
            <a:defRPr sz="1100">
              <a:solidFill>
                <a:schemeClr val="tx1"/>
              </a:solidFill>
              <a:latin typeface="+mn-lt"/>
              <a:ea typeface="+mn-ea"/>
              <a:cs typeface="+mn-cs"/>
            </a:defRPr>
          </a:lvl1pPr>
          <a:lvl2pPr marL="457200" indent="0">
            <a:defRPr sz="1100">
              <a:solidFill>
                <a:schemeClr val="tx1"/>
              </a:solidFill>
              <a:latin typeface="+mn-lt"/>
              <a:ea typeface="+mn-ea"/>
              <a:cs typeface="+mn-cs"/>
            </a:defRPr>
          </a:lvl2pPr>
          <a:lvl3pPr marL="914400" indent="0">
            <a:defRPr sz="1100">
              <a:solidFill>
                <a:schemeClr val="tx1"/>
              </a:solidFill>
              <a:latin typeface="+mn-lt"/>
              <a:ea typeface="+mn-ea"/>
              <a:cs typeface="+mn-cs"/>
            </a:defRPr>
          </a:lvl3pPr>
          <a:lvl4pPr marL="1371600" indent="0">
            <a:defRPr sz="1100">
              <a:solidFill>
                <a:schemeClr val="tx1"/>
              </a:solidFill>
              <a:latin typeface="+mn-lt"/>
              <a:ea typeface="+mn-ea"/>
              <a:cs typeface="+mn-cs"/>
            </a:defRPr>
          </a:lvl4pPr>
          <a:lvl5pPr marL="1828800" indent="0">
            <a:defRPr sz="1100">
              <a:solidFill>
                <a:schemeClr val="tx1"/>
              </a:solidFill>
              <a:latin typeface="+mn-lt"/>
              <a:ea typeface="+mn-ea"/>
              <a:cs typeface="+mn-cs"/>
            </a:defRPr>
          </a:lvl5pPr>
          <a:lvl6pPr marL="2286000" indent="0">
            <a:defRPr sz="1100">
              <a:solidFill>
                <a:schemeClr val="tx1"/>
              </a:solidFill>
              <a:latin typeface="+mn-lt"/>
              <a:ea typeface="+mn-ea"/>
              <a:cs typeface="+mn-cs"/>
            </a:defRPr>
          </a:lvl6pPr>
          <a:lvl7pPr marL="2743200" indent="0">
            <a:defRPr sz="1100">
              <a:solidFill>
                <a:schemeClr val="tx1"/>
              </a:solidFill>
              <a:latin typeface="+mn-lt"/>
              <a:ea typeface="+mn-ea"/>
              <a:cs typeface="+mn-cs"/>
            </a:defRPr>
          </a:lvl7pPr>
          <a:lvl8pPr marL="3200400" indent="0">
            <a:defRPr sz="1100">
              <a:solidFill>
                <a:schemeClr val="tx1"/>
              </a:solidFill>
              <a:latin typeface="+mn-lt"/>
              <a:ea typeface="+mn-ea"/>
              <a:cs typeface="+mn-cs"/>
            </a:defRPr>
          </a:lvl8pPr>
          <a:lvl9pPr marL="3657600" indent="0">
            <a:defRPr sz="1100">
              <a:solidFill>
                <a:schemeClr val="tx1"/>
              </a:solidFill>
              <a:latin typeface="+mn-lt"/>
              <a:ea typeface="+mn-ea"/>
              <a:cs typeface="+mn-cs"/>
            </a:defRPr>
          </a:lvl9pPr>
        </a:lstStyle>
        <a:p xmlns:a="http://schemas.openxmlformats.org/drawingml/2006/main">
          <a:endParaRPr lang="nl-NL">
            <a:solidFill>
              <a:schemeClr val="bg1">
                <a:lumMod val="65000"/>
              </a:schemeClr>
            </a:solidFill>
          </a:endParaRPr>
        </a:p>
      </cdr:txBody>
    </cdr:sp>
  </cdr:relSizeAnchor>
  <cdr:relSizeAnchor xmlns:cdr="http://schemas.openxmlformats.org/drawingml/2006/chartDrawing">
    <cdr:from>
      <cdr:x>0.04902</cdr:x>
      <cdr:y>0.80169</cdr:y>
    </cdr:from>
    <cdr:to>
      <cdr:x>0.15128</cdr:x>
      <cdr:y>0.85283</cdr:y>
    </cdr:to>
    <cdr:sp macro="" textlink="">
      <cdr:nvSpPr>
        <cdr:cNvPr id="3" name="Rechthoek 2"/>
        <cdr:cNvSpPr/>
      </cdr:nvSpPr>
      <cdr:spPr>
        <a:xfrm xmlns:a="http://schemas.openxmlformats.org/drawingml/2006/main">
          <a:off x="295637" y="3000495"/>
          <a:ext cx="616689" cy="191386"/>
        </a:xfrm>
        <a:prstGeom xmlns:a="http://schemas.openxmlformats.org/drawingml/2006/main" prst="rect">
          <a:avLst/>
        </a:prstGeom>
        <a:noFill xmlns:a="http://schemas.openxmlformats.org/drawingml/2006/main"/>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r>
            <a:rPr lang="nl-NL" sz="800" b="1">
              <a:solidFill>
                <a:schemeClr val="tx1"/>
              </a:solidFill>
            </a:rPr>
            <a:t>Outcome</a:t>
          </a:r>
        </a:p>
      </cdr:txBody>
    </cdr:sp>
  </cdr:relSizeAnchor>
  <cdr:relSizeAnchor xmlns:cdr="http://schemas.openxmlformats.org/drawingml/2006/chartDrawing">
    <cdr:from>
      <cdr:x>0.16556</cdr:x>
      <cdr:y>0.75644</cdr:y>
    </cdr:from>
    <cdr:to>
      <cdr:x>0.62017</cdr:x>
      <cdr:y>0.8016</cdr:y>
    </cdr:to>
    <cdr:sp macro="" textlink="">
      <cdr:nvSpPr>
        <cdr:cNvPr id="4" name="Vierkante haak links 3"/>
        <cdr:cNvSpPr/>
      </cdr:nvSpPr>
      <cdr:spPr>
        <a:xfrm xmlns:a="http://schemas.openxmlformats.org/drawingml/2006/main" rot="16200000">
          <a:off x="2284693" y="1544844"/>
          <a:ext cx="169009" cy="2741561"/>
        </a:xfrm>
        <a:prstGeom xmlns:a="http://schemas.openxmlformats.org/drawingml/2006/main" prst="leftBracket">
          <a:avLst/>
        </a:prstGeom>
        <a:ln xmlns:a="http://schemas.openxmlformats.org/drawingml/2006/main">
          <a:solidFill>
            <a:schemeClr val="bg1">
              <a:lumMod val="75000"/>
            </a:schemeClr>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a:lstStyle xmlns:a="http://schemas.openxmlformats.org/drawingml/2006/main">
          <a:lvl1pPr marL="0" indent="0">
            <a:defRPr sz="1100">
              <a:solidFill>
                <a:schemeClr val="tx1"/>
              </a:solidFill>
              <a:latin typeface="+mn-lt"/>
              <a:ea typeface="+mn-ea"/>
              <a:cs typeface="+mn-cs"/>
            </a:defRPr>
          </a:lvl1pPr>
          <a:lvl2pPr marL="457200" indent="0">
            <a:defRPr sz="1100">
              <a:solidFill>
                <a:schemeClr val="tx1"/>
              </a:solidFill>
              <a:latin typeface="+mn-lt"/>
              <a:ea typeface="+mn-ea"/>
              <a:cs typeface="+mn-cs"/>
            </a:defRPr>
          </a:lvl2pPr>
          <a:lvl3pPr marL="914400" indent="0">
            <a:defRPr sz="1100">
              <a:solidFill>
                <a:schemeClr val="tx1"/>
              </a:solidFill>
              <a:latin typeface="+mn-lt"/>
              <a:ea typeface="+mn-ea"/>
              <a:cs typeface="+mn-cs"/>
            </a:defRPr>
          </a:lvl3pPr>
          <a:lvl4pPr marL="1371600" indent="0">
            <a:defRPr sz="1100">
              <a:solidFill>
                <a:schemeClr val="tx1"/>
              </a:solidFill>
              <a:latin typeface="+mn-lt"/>
              <a:ea typeface="+mn-ea"/>
              <a:cs typeface="+mn-cs"/>
            </a:defRPr>
          </a:lvl4pPr>
          <a:lvl5pPr marL="1828800" indent="0">
            <a:defRPr sz="1100">
              <a:solidFill>
                <a:schemeClr val="tx1"/>
              </a:solidFill>
              <a:latin typeface="+mn-lt"/>
              <a:ea typeface="+mn-ea"/>
              <a:cs typeface="+mn-cs"/>
            </a:defRPr>
          </a:lvl5pPr>
          <a:lvl6pPr marL="2286000" indent="0">
            <a:defRPr sz="1100">
              <a:solidFill>
                <a:schemeClr val="tx1"/>
              </a:solidFill>
              <a:latin typeface="+mn-lt"/>
              <a:ea typeface="+mn-ea"/>
              <a:cs typeface="+mn-cs"/>
            </a:defRPr>
          </a:lvl6pPr>
          <a:lvl7pPr marL="2743200" indent="0">
            <a:defRPr sz="1100">
              <a:solidFill>
                <a:schemeClr val="tx1"/>
              </a:solidFill>
              <a:latin typeface="+mn-lt"/>
              <a:ea typeface="+mn-ea"/>
              <a:cs typeface="+mn-cs"/>
            </a:defRPr>
          </a:lvl7pPr>
          <a:lvl8pPr marL="3200400" indent="0">
            <a:defRPr sz="1100">
              <a:solidFill>
                <a:schemeClr val="tx1"/>
              </a:solidFill>
              <a:latin typeface="+mn-lt"/>
              <a:ea typeface="+mn-ea"/>
              <a:cs typeface="+mn-cs"/>
            </a:defRPr>
          </a:lvl8pPr>
          <a:lvl9pPr marL="3657600" indent="0">
            <a:defRPr sz="1100">
              <a:solidFill>
                <a:schemeClr val="tx1"/>
              </a:solidFill>
              <a:latin typeface="+mn-lt"/>
              <a:ea typeface="+mn-ea"/>
              <a:cs typeface="+mn-cs"/>
            </a:defRPr>
          </a:lvl9pPr>
        </a:lstStyle>
        <a:p xmlns:a="http://schemas.openxmlformats.org/drawingml/2006/main">
          <a:endParaRPr lang="nl-NL"/>
        </a:p>
      </cdr:txBody>
    </cdr:sp>
  </cdr:relSizeAnchor>
  <cdr:relSizeAnchor xmlns:cdr="http://schemas.openxmlformats.org/drawingml/2006/chartDrawing">
    <cdr:from>
      <cdr:x>0.32553</cdr:x>
      <cdr:y>0.80218</cdr:y>
    </cdr:from>
    <cdr:to>
      <cdr:x>0.42779</cdr:x>
      <cdr:y>0.85331</cdr:y>
    </cdr:to>
    <cdr:sp macro="" textlink="">
      <cdr:nvSpPr>
        <cdr:cNvPr id="5" name="Rechthoek 4"/>
        <cdr:cNvSpPr/>
      </cdr:nvSpPr>
      <cdr:spPr>
        <a:xfrm xmlns:a="http://schemas.openxmlformats.org/drawingml/2006/main">
          <a:off x="1963160" y="3002307"/>
          <a:ext cx="616689" cy="191386"/>
        </a:xfrm>
        <a:prstGeom xmlns:a="http://schemas.openxmlformats.org/drawingml/2006/main" prst="rect">
          <a:avLst/>
        </a:prstGeom>
        <a:noFill xmlns:a="http://schemas.openxmlformats.org/drawingml/2006/main"/>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r>
            <a:rPr lang="nl-NL" sz="800" b="1">
              <a:solidFill>
                <a:schemeClr val="tx1"/>
              </a:solidFill>
            </a:rPr>
            <a:t>Process</a:t>
          </a:r>
        </a:p>
      </cdr:txBody>
    </cdr:sp>
  </cdr:relSizeAnchor>
  <cdr:relSizeAnchor xmlns:cdr="http://schemas.openxmlformats.org/drawingml/2006/chartDrawing">
    <cdr:from>
      <cdr:x>0.62827</cdr:x>
      <cdr:y>0.75682</cdr:y>
    </cdr:from>
    <cdr:to>
      <cdr:x>0.66106</cdr:x>
      <cdr:y>0.80171</cdr:y>
    </cdr:to>
    <cdr:sp macro="" textlink="">
      <cdr:nvSpPr>
        <cdr:cNvPr id="6" name="Vierkante haak links 5"/>
        <cdr:cNvSpPr/>
      </cdr:nvSpPr>
      <cdr:spPr>
        <a:xfrm xmlns:a="http://schemas.openxmlformats.org/drawingml/2006/main" rot="16200000">
          <a:off x="3803710" y="2817689"/>
          <a:ext cx="168030" cy="197728"/>
        </a:xfrm>
        <a:prstGeom xmlns:a="http://schemas.openxmlformats.org/drawingml/2006/main" prst="leftBracket">
          <a:avLst/>
        </a:prstGeom>
        <a:ln xmlns:a="http://schemas.openxmlformats.org/drawingml/2006/main">
          <a:solidFill>
            <a:schemeClr val="bg1">
              <a:lumMod val="75000"/>
            </a:schemeClr>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a:lstStyle xmlns:a="http://schemas.openxmlformats.org/drawingml/2006/main">
          <a:lvl1pPr marL="0" indent="0">
            <a:defRPr sz="1100">
              <a:solidFill>
                <a:schemeClr val="tx1"/>
              </a:solidFill>
              <a:latin typeface="+mn-lt"/>
              <a:ea typeface="+mn-ea"/>
              <a:cs typeface="+mn-cs"/>
            </a:defRPr>
          </a:lvl1pPr>
          <a:lvl2pPr marL="457200" indent="0">
            <a:defRPr sz="1100">
              <a:solidFill>
                <a:schemeClr val="tx1"/>
              </a:solidFill>
              <a:latin typeface="+mn-lt"/>
              <a:ea typeface="+mn-ea"/>
              <a:cs typeface="+mn-cs"/>
            </a:defRPr>
          </a:lvl2pPr>
          <a:lvl3pPr marL="914400" indent="0">
            <a:defRPr sz="1100">
              <a:solidFill>
                <a:schemeClr val="tx1"/>
              </a:solidFill>
              <a:latin typeface="+mn-lt"/>
              <a:ea typeface="+mn-ea"/>
              <a:cs typeface="+mn-cs"/>
            </a:defRPr>
          </a:lvl3pPr>
          <a:lvl4pPr marL="1371600" indent="0">
            <a:defRPr sz="1100">
              <a:solidFill>
                <a:schemeClr val="tx1"/>
              </a:solidFill>
              <a:latin typeface="+mn-lt"/>
              <a:ea typeface="+mn-ea"/>
              <a:cs typeface="+mn-cs"/>
            </a:defRPr>
          </a:lvl4pPr>
          <a:lvl5pPr marL="1828800" indent="0">
            <a:defRPr sz="1100">
              <a:solidFill>
                <a:schemeClr val="tx1"/>
              </a:solidFill>
              <a:latin typeface="+mn-lt"/>
              <a:ea typeface="+mn-ea"/>
              <a:cs typeface="+mn-cs"/>
            </a:defRPr>
          </a:lvl5pPr>
          <a:lvl6pPr marL="2286000" indent="0">
            <a:defRPr sz="1100">
              <a:solidFill>
                <a:schemeClr val="tx1"/>
              </a:solidFill>
              <a:latin typeface="+mn-lt"/>
              <a:ea typeface="+mn-ea"/>
              <a:cs typeface="+mn-cs"/>
            </a:defRPr>
          </a:lvl6pPr>
          <a:lvl7pPr marL="2743200" indent="0">
            <a:defRPr sz="1100">
              <a:solidFill>
                <a:schemeClr val="tx1"/>
              </a:solidFill>
              <a:latin typeface="+mn-lt"/>
              <a:ea typeface="+mn-ea"/>
              <a:cs typeface="+mn-cs"/>
            </a:defRPr>
          </a:lvl7pPr>
          <a:lvl8pPr marL="3200400" indent="0">
            <a:defRPr sz="1100">
              <a:solidFill>
                <a:schemeClr val="tx1"/>
              </a:solidFill>
              <a:latin typeface="+mn-lt"/>
              <a:ea typeface="+mn-ea"/>
              <a:cs typeface="+mn-cs"/>
            </a:defRPr>
          </a:lvl8pPr>
          <a:lvl9pPr marL="3657600" indent="0">
            <a:defRPr sz="1100">
              <a:solidFill>
                <a:schemeClr val="tx1"/>
              </a:solidFill>
              <a:latin typeface="+mn-lt"/>
              <a:ea typeface="+mn-ea"/>
              <a:cs typeface="+mn-cs"/>
            </a:defRPr>
          </a:lvl9pPr>
        </a:lstStyle>
        <a:p xmlns:a="http://schemas.openxmlformats.org/drawingml/2006/main">
          <a:endParaRPr lang="nl-NL"/>
        </a:p>
      </cdr:txBody>
    </cdr:sp>
  </cdr:relSizeAnchor>
  <cdr:relSizeAnchor xmlns:cdr="http://schemas.openxmlformats.org/drawingml/2006/chartDrawing">
    <cdr:from>
      <cdr:x>0.6156</cdr:x>
      <cdr:y>0.80065</cdr:y>
    </cdr:from>
    <cdr:to>
      <cdr:x>0.68691</cdr:x>
      <cdr:y>0.85179</cdr:y>
    </cdr:to>
    <cdr:sp macro="" textlink="">
      <cdr:nvSpPr>
        <cdr:cNvPr id="7" name="Rechthoek 6"/>
        <cdr:cNvSpPr/>
      </cdr:nvSpPr>
      <cdr:spPr>
        <a:xfrm xmlns:a="http://schemas.openxmlformats.org/drawingml/2006/main">
          <a:off x="3712430" y="2996599"/>
          <a:ext cx="430029" cy="191386"/>
        </a:xfrm>
        <a:prstGeom xmlns:a="http://schemas.openxmlformats.org/drawingml/2006/main" prst="rect">
          <a:avLst/>
        </a:prstGeom>
        <a:noFill xmlns:a="http://schemas.openxmlformats.org/drawingml/2006/main"/>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r>
            <a:rPr lang="nl-NL" sz="800" b="1">
              <a:solidFill>
                <a:schemeClr val="tx1"/>
              </a:solidFill>
            </a:rPr>
            <a:t>Cost</a:t>
          </a:r>
        </a:p>
      </cdr:txBody>
    </cdr:sp>
  </cdr:relSizeAnchor>
  <cdr:relSizeAnchor xmlns:cdr="http://schemas.openxmlformats.org/drawingml/2006/chartDrawing">
    <cdr:from>
      <cdr:x>0.6752</cdr:x>
      <cdr:y>0.75803</cdr:y>
    </cdr:from>
    <cdr:to>
      <cdr:x>0.98489</cdr:x>
      <cdr:y>0.80152</cdr:y>
    </cdr:to>
    <cdr:sp macro="" textlink="">
      <cdr:nvSpPr>
        <cdr:cNvPr id="8" name="Vierkante haak links 7"/>
        <cdr:cNvSpPr/>
      </cdr:nvSpPr>
      <cdr:spPr>
        <a:xfrm xmlns:a="http://schemas.openxmlformats.org/drawingml/2006/main" rot="16200000">
          <a:off x="4924281" y="1984650"/>
          <a:ext cx="162788" cy="1867618"/>
        </a:xfrm>
        <a:prstGeom xmlns:a="http://schemas.openxmlformats.org/drawingml/2006/main" prst="leftBracket">
          <a:avLst/>
        </a:prstGeom>
        <a:ln xmlns:a="http://schemas.openxmlformats.org/drawingml/2006/main">
          <a:solidFill>
            <a:schemeClr val="bg1">
              <a:lumMod val="75000"/>
            </a:schemeClr>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a:lstStyle xmlns:a="http://schemas.openxmlformats.org/drawingml/2006/main">
          <a:lvl1pPr marL="0" indent="0">
            <a:defRPr sz="1100">
              <a:solidFill>
                <a:schemeClr val="tx1"/>
              </a:solidFill>
              <a:latin typeface="+mn-lt"/>
              <a:ea typeface="+mn-ea"/>
              <a:cs typeface="+mn-cs"/>
            </a:defRPr>
          </a:lvl1pPr>
          <a:lvl2pPr marL="457200" indent="0">
            <a:defRPr sz="1100">
              <a:solidFill>
                <a:schemeClr val="tx1"/>
              </a:solidFill>
              <a:latin typeface="+mn-lt"/>
              <a:ea typeface="+mn-ea"/>
              <a:cs typeface="+mn-cs"/>
            </a:defRPr>
          </a:lvl2pPr>
          <a:lvl3pPr marL="914400" indent="0">
            <a:defRPr sz="1100">
              <a:solidFill>
                <a:schemeClr val="tx1"/>
              </a:solidFill>
              <a:latin typeface="+mn-lt"/>
              <a:ea typeface="+mn-ea"/>
              <a:cs typeface="+mn-cs"/>
            </a:defRPr>
          </a:lvl3pPr>
          <a:lvl4pPr marL="1371600" indent="0">
            <a:defRPr sz="1100">
              <a:solidFill>
                <a:schemeClr val="tx1"/>
              </a:solidFill>
              <a:latin typeface="+mn-lt"/>
              <a:ea typeface="+mn-ea"/>
              <a:cs typeface="+mn-cs"/>
            </a:defRPr>
          </a:lvl4pPr>
          <a:lvl5pPr marL="1828800" indent="0">
            <a:defRPr sz="1100">
              <a:solidFill>
                <a:schemeClr val="tx1"/>
              </a:solidFill>
              <a:latin typeface="+mn-lt"/>
              <a:ea typeface="+mn-ea"/>
              <a:cs typeface="+mn-cs"/>
            </a:defRPr>
          </a:lvl5pPr>
          <a:lvl6pPr marL="2286000" indent="0">
            <a:defRPr sz="1100">
              <a:solidFill>
                <a:schemeClr val="tx1"/>
              </a:solidFill>
              <a:latin typeface="+mn-lt"/>
              <a:ea typeface="+mn-ea"/>
              <a:cs typeface="+mn-cs"/>
            </a:defRPr>
          </a:lvl6pPr>
          <a:lvl7pPr marL="2743200" indent="0">
            <a:defRPr sz="1100">
              <a:solidFill>
                <a:schemeClr val="tx1"/>
              </a:solidFill>
              <a:latin typeface="+mn-lt"/>
              <a:ea typeface="+mn-ea"/>
              <a:cs typeface="+mn-cs"/>
            </a:defRPr>
          </a:lvl7pPr>
          <a:lvl8pPr marL="3200400" indent="0">
            <a:defRPr sz="1100">
              <a:solidFill>
                <a:schemeClr val="tx1"/>
              </a:solidFill>
              <a:latin typeface="+mn-lt"/>
              <a:ea typeface="+mn-ea"/>
              <a:cs typeface="+mn-cs"/>
            </a:defRPr>
          </a:lvl8pPr>
          <a:lvl9pPr marL="3657600" indent="0">
            <a:defRPr sz="1100">
              <a:solidFill>
                <a:schemeClr val="tx1"/>
              </a:solidFill>
              <a:latin typeface="+mn-lt"/>
              <a:ea typeface="+mn-ea"/>
              <a:cs typeface="+mn-cs"/>
            </a:defRPr>
          </a:lvl9pPr>
        </a:lstStyle>
        <a:p xmlns:a="http://schemas.openxmlformats.org/drawingml/2006/main">
          <a:endParaRPr lang="nl-NL"/>
        </a:p>
      </cdr:txBody>
    </cdr:sp>
  </cdr:relSizeAnchor>
  <cdr:relSizeAnchor xmlns:cdr="http://schemas.openxmlformats.org/drawingml/2006/chartDrawing">
    <cdr:from>
      <cdr:x>0.77655</cdr:x>
      <cdr:y>0.80218</cdr:y>
    </cdr:from>
    <cdr:to>
      <cdr:x>0.84785</cdr:x>
      <cdr:y>0.85332</cdr:y>
    </cdr:to>
    <cdr:sp macro="" textlink="">
      <cdr:nvSpPr>
        <cdr:cNvPr id="9" name="Rechthoek 8"/>
        <cdr:cNvSpPr/>
      </cdr:nvSpPr>
      <cdr:spPr>
        <a:xfrm xmlns:a="http://schemas.openxmlformats.org/drawingml/2006/main">
          <a:off x="4683033" y="3002309"/>
          <a:ext cx="430029" cy="191386"/>
        </a:xfrm>
        <a:prstGeom xmlns:a="http://schemas.openxmlformats.org/drawingml/2006/main" prst="rect">
          <a:avLst/>
        </a:prstGeom>
        <a:noFill xmlns:a="http://schemas.openxmlformats.org/drawingml/2006/main"/>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r>
            <a:rPr lang="nl-NL" sz="800" b="1">
              <a:solidFill>
                <a:schemeClr val="tx1"/>
              </a:solidFill>
            </a:rPr>
            <a:t>Other</a:t>
          </a:r>
        </a:p>
      </cdr:txBody>
    </cdr:sp>
  </cdr:relSizeAnchor>
</c:userShape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5</Pages>
  <Words>1482</Words>
  <Characters>8152</Characters>
  <Application>Microsoft Office Word</Application>
  <DocSecurity>0</DocSecurity>
  <Lines>67</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Diks, Marilyn (Stud. FHML / Alumni)</dc:creator>
  <cp:keywords/>
  <dc:description/>
  <cp:lastModifiedBy>Diks, Marilyn (Stud. FHML / Alumni)</cp:lastModifiedBy>
  <cp:revision>32</cp:revision>
  <dcterms:created xsi:type="dcterms:W3CDTF">2020-09-08T15:04:00Z</dcterms:created>
  <dcterms:modified xsi:type="dcterms:W3CDTF">2020-11-18T07:24:00Z</dcterms:modified>
</cp:coreProperties>
</file>