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ind w:right="349" w:rightChars="166"/>
        <w:rPr>
          <w:b/>
          <w:sz w:val="24"/>
        </w:rPr>
      </w:pPr>
      <w:r>
        <w:rPr>
          <w:b/>
          <w:sz w:val="24"/>
        </w:rPr>
        <w:t>Table S</w:t>
      </w:r>
      <w:r>
        <w:rPr>
          <w:rFonts w:hint="eastAsia"/>
          <w:b/>
          <w:sz w:val="24"/>
        </w:rPr>
        <w:t>3</w:t>
      </w:r>
      <w:r>
        <w:rPr>
          <w:b/>
          <w:bCs/>
          <w:sz w:val="24"/>
        </w:rPr>
        <w:t>.</w:t>
      </w:r>
      <w:r>
        <w:rPr>
          <w:rFonts w:hint="eastAsia"/>
          <w:sz w:val="24"/>
        </w:rPr>
        <w:t xml:space="preserve"> </w:t>
      </w:r>
      <w:r>
        <w:rPr>
          <w:b/>
          <w:bCs/>
          <w:sz w:val="24"/>
        </w:rPr>
        <w:t xml:space="preserve">Antibodies for Western blot and Immunohistochemistry. </w:t>
      </w:r>
    </w:p>
    <w:tbl>
      <w:tblPr>
        <w:tblStyle w:val="3"/>
        <w:tblpPr w:leftFromText="180" w:rightFromText="180" w:vertAnchor="text" w:horzAnchor="page" w:tblpX="1610" w:tblpY="30"/>
        <w:tblOverlap w:val="never"/>
        <w:tblW w:w="14261" w:type="dxa"/>
        <w:tblInd w:w="0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1910"/>
        <w:gridCol w:w="1344"/>
        <w:gridCol w:w="1390"/>
        <w:gridCol w:w="1811"/>
        <w:gridCol w:w="4998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exact"/>
        </w:trPr>
        <w:tc>
          <w:tcPr>
            <w:tcW w:w="2808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Proteins</w:t>
            </w:r>
          </w:p>
        </w:tc>
        <w:tc>
          <w:tcPr>
            <w:tcW w:w="191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Antibodies</w:t>
            </w:r>
          </w:p>
        </w:tc>
        <w:tc>
          <w:tcPr>
            <w:tcW w:w="1344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Source</w:t>
            </w:r>
          </w:p>
        </w:tc>
        <w:tc>
          <w:tcPr>
            <w:tcW w:w="139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Catalog number</w:t>
            </w:r>
          </w:p>
        </w:tc>
        <w:tc>
          <w:tcPr>
            <w:tcW w:w="1811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Dilution ratio</w:t>
            </w:r>
          </w:p>
        </w:tc>
        <w:tc>
          <w:tcPr>
            <w:tcW w:w="4998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>eferences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exact"/>
        </w:trPr>
        <w:tc>
          <w:tcPr>
            <w:tcW w:w="2808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bookmarkStart w:id="0" w:name="OLE_LINK46"/>
            <w:bookmarkStart w:id="1" w:name="OLE_LINK45"/>
            <w:r>
              <w:rPr>
                <w:rFonts w:eastAsia="TimesNewRoman"/>
                <w:color w:val="000000"/>
                <w:sz w:val="24"/>
              </w:rPr>
              <w:t>CK-18</w:t>
            </w:r>
            <w:bookmarkEnd w:id="0"/>
            <w:bookmarkEnd w:id="1"/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(for IHC)</w:t>
            </w:r>
          </w:p>
        </w:tc>
        <w:tc>
          <w:tcPr>
            <w:tcW w:w="191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Anti-Cytokeratin 18</w:t>
            </w:r>
            <w:r>
              <w:rPr>
                <w:rFonts w:hint="eastAsia"/>
                <w:color w:val="000000"/>
                <w:sz w:val="24"/>
              </w:rPr>
              <w:t xml:space="preserve"> antibody 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</w:p>
        </w:tc>
        <w:tc>
          <w:tcPr>
            <w:tcW w:w="1344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Abcam</w:t>
            </w:r>
          </w:p>
        </w:tc>
        <w:tc>
          <w:tcPr>
            <w:tcW w:w="139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ab181597</w:t>
            </w:r>
          </w:p>
        </w:tc>
        <w:tc>
          <w:tcPr>
            <w:tcW w:w="1811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eastAsia="TimesNewRoman"/>
                <w:color w:val="000000"/>
                <w:sz w:val="24"/>
              </w:rPr>
              <w:t>:800</w:t>
            </w:r>
          </w:p>
        </w:tc>
        <w:tc>
          <w:tcPr>
            <w:tcW w:w="4998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Zhang S et al. Platelet-rich plasma improves therapeutic effects of menstrual blood-derived stromal cells in rat model of intrauterine adhesion. Stem Cell Res Ther 10:61 (2019).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S</w:t>
            </w:r>
            <w:r>
              <w:rPr>
                <w:rFonts w:eastAsia="TimesNewRoman"/>
                <w:color w:val="000000"/>
                <w:sz w:val="24"/>
              </w:rPr>
              <w:t>TAT3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f</w:t>
            </w:r>
            <w:r>
              <w:rPr>
                <w:rFonts w:eastAsia="TimesNewRoman"/>
                <w:color w:val="000000"/>
                <w:sz w:val="24"/>
              </w:rPr>
              <w:t>or western blot and IHC)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Anti-STAT3 antibody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</w:t>
            </w:r>
            <w:r>
              <w:rPr>
                <w:rFonts w:eastAsia="TimesNewRoman"/>
                <w:color w:val="000000"/>
                <w:sz w:val="24"/>
              </w:rPr>
              <w:t>bcam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sz w:val="24"/>
              </w:rPr>
              <w:t>ab68153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eastAsia="TimesNewRoman"/>
                <w:color w:val="000000"/>
                <w:sz w:val="24"/>
              </w:rPr>
              <w:t>:1000/1:200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Chen A et al. Inhibition of miR-155-5p attenuates the valvular damage induced by rheumatic heart disease. Int J Mol Med 45:429-440 (2020).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H</w:t>
            </w:r>
            <w:r>
              <w:rPr>
                <w:rFonts w:eastAsia="TimesNewRoman"/>
                <w:color w:val="000000"/>
                <w:sz w:val="24"/>
              </w:rPr>
              <w:t>B</w:t>
            </w:r>
            <w:r>
              <w:rPr>
                <w:rFonts w:hint="eastAsia"/>
                <w:color w:val="000000"/>
                <w:sz w:val="24"/>
              </w:rPr>
              <w:t>V S protein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f</w:t>
            </w:r>
            <w:r>
              <w:rPr>
                <w:rFonts w:eastAsia="TimesNewRoman"/>
                <w:color w:val="000000"/>
                <w:sz w:val="24"/>
              </w:rPr>
              <w:t>or western blot and IHC)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Anti-HBS1L antibody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</w:t>
            </w:r>
            <w:r>
              <w:rPr>
                <w:rFonts w:eastAsia="TimesNewRoman"/>
                <w:color w:val="000000"/>
                <w:sz w:val="24"/>
              </w:rPr>
              <w:t>bcam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sz w:val="24"/>
              </w:rPr>
              <w:t>ab224476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eastAsia="TimesNewRoman"/>
                <w:color w:val="000000"/>
                <w:sz w:val="24"/>
              </w:rPr>
              <w:t>:1000/1:200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This antibody has not yet been referenced specifically in any publications.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IL-6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f</w:t>
            </w:r>
            <w:r>
              <w:rPr>
                <w:rFonts w:eastAsia="TimesNewRoman"/>
                <w:color w:val="000000"/>
                <w:sz w:val="24"/>
              </w:rPr>
              <w:t>or western blot)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 xml:space="preserve">Anti-IL-6 antibody 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</w:t>
            </w:r>
            <w:r>
              <w:rPr>
                <w:rFonts w:eastAsia="TimesNewRoman"/>
                <w:color w:val="000000"/>
                <w:sz w:val="24"/>
              </w:rPr>
              <w:t>bcam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ab208113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1/50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Zhang J et al. Protocatechuic acid attenuates anterior cruciate ligament transection-induced osteoarthritis by suppressing osteoclastogenesis. Exp Ther Med 19:232-240 (2020)</w:t>
            </w:r>
            <w:r>
              <w:rPr>
                <w:rFonts w:hint="eastAsia"/>
                <w:color w:val="000000"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Ki67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(for IHC)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bookmarkStart w:id="2" w:name="OLE_LINK1"/>
            <w:r>
              <w:rPr>
                <w:rFonts w:hint="eastAsia" w:eastAsia="TimesNewRoman"/>
                <w:color w:val="000000"/>
                <w:sz w:val="24"/>
              </w:rPr>
              <w:t>Anti-Ki67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 w:eastAsia="TimesNewRoman"/>
                <w:color w:val="000000"/>
                <w:sz w:val="24"/>
              </w:rPr>
              <w:t>antibody</w:t>
            </w:r>
            <w:bookmarkEnd w:id="2"/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</w:t>
            </w:r>
            <w:r>
              <w:rPr>
                <w:rFonts w:eastAsia="TimesNewRoman"/>
                <w:color w:val="000000"/>
                <w:sz w:val="24"/>
              </w:rPr>
              <w:t>bcam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ab16667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1/200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Traversi F et al. BRAFV600E Overrides NOTCH Signaling in Thyroid Cancer. Thyroid 31:787-799 (2021).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ERO1L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f</w:t>
            </w:r>
            <w:r>
              <w:rPr>
                <w:rFonts w:eastAsia="TimesNewRoman"/>
                <w:color w:val="000000"/>
                <w:sz w:val="24"/>
              </w:rPr>
              <w:t>or western blot and IHC)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Anti-ERO1L</w:t>
            </w:r>
            <w:r>
              <w:rPr>
                <w:rFonts w:hint="eastAsia"/>
                <w:color w:val="000000"/>
                <w:sz w:val="24"/>
              </w:rPr>
              <w:t xml:space="preserve"> antibody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</w:t>
            </w:r>
            <w:r>
              <w:rPr>
                <w:rFonts w:eastAsia="TimesNewRoman"/>
                <w:color w:val="000000"/>
                <w:sz w:val="24"/>
              </w:rPr>
              <w:t>bcam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ab177156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eastAsia="TimesNewRoman"/>
                <w:color w:val="000000"/>
                <w:sz w:val="24"/>
              </w:rPr>
              <w:t>:1000/</w:t>
            </w: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:</w:t>
            </w:r>
            <w:r>
              <w:rPr>
                <w:rFonts w:hint="eastAsia" w:eastAsia="TimesNewRoman"/>
                <w:color w:val="000000"/>
                <w:sz w:val="24"/>
              </w:rPr>
              <w:t>200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Wang D et al. Tumor mutation burden as a biomarker in resected gastric cancer via its association with immune infiltration and hypoxia. Gastric Cancer 24:823-834 (2021)</w:t>
            </w:r>
            <w:r>
              <w:rPr>
                <w:rFonts w:hint="eastAsia"/>
                <w:color w:val="000000"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PERK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f</w:t>
            </w:r>
            <w:r>
              <w:rPr>
                <w:rFonts w:eastAsia="TimesNewRoman"/>
                <w:color w:val="000000"/>
                <w:sz w:val="24"/>
              </w:rPr>
              <w:t>or western blot and IHC)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Anti-PERK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antibody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</w:t>
            </w:r>
            <w:r>
              <w:rPr>
                <w:rFonts w:eastAsia="TimesNewRoman"/>
                <w:color w:val="000000"/>
                <w:sz w:val="24"/>
              </w:rPr>
              <w:t>bcam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ab79483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eastAsia="TimesNewRoman"/>
                <w:color w:val="000000"/>
                <w:sz w:val="24"/>
              </w:rPr>
              <w:t>:1000/</w:t>
            </w: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:1</w:t>
            </w:r>
            <w:r>
              <w:rPr>
                <w:rFonts w:hint="eastAsia" w:eastAsia="TimesNewRoman"/>
                <w:color w:val="000000"/>
                <w:sz w:val="24"/>
              </w:rPr>
              <w:t>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 xml:space="preserve">Sen T et al. Aberrant ER Stress Induced Neuronal-IFNß Elicits White Matter Injury Due to Microglial Activation and T-Cell Infiltration after TBI. J Neurosci 40:424-446 (2020).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XBP1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f</w:t>
            </w:r>
            <w:r>
              <w:rPr>
                <w:rFonts w:eastAsia="TimesNewRoman"/>
                <w:color w:val="000000"/>
                <w:sz w:val="24"/>
              </w:rPr>
              <w:t>or western blot)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Anti-XBP1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antibody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</w:t>
            </w:r>
            <w:r>
              <w:rPr>
                <w:rFonts w:eastAsia="TimesNewRoman"/>
                <w:color w:val="000000"/>
                <w:sz w:val="24"/>
              </w:rPr>
              <w:t>bcam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ab37152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eastAsia="TimesNewRoman"/>
                <w:color w:val="000000"/>
                <w:sz w:val="24"/>
              </w:rPr>
              <w:t>:1000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Xu X et al. Endoplasmic reticulum stress/XBP1 promotes airway mucin secretion under the influence of neutrophil elastase. Int J Mol Med 47:</w:t>
            </w:r>
            <w:r>
              <w:rPr>
                <w:rFonts w:eastAsia="TimesNewRoman"/>
                <w:color w:val="000000"/>
                <w:sz w:val="24"/>
              </w:rPr>
              <w:t>81</w:t>
            </w:r>
            <w:r>
              <w:rPr>
                <w:rFonts w:hint="eastAsia" w:eastAsia="TimesNewRoman"/>
                <w:color w:val="000000"/>
                <w:sz w:val="24"/>
              </w:rPr>
              <w:t xml:space="preserve"> (2021).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CHOP</w:t>
            </w:r>
            <w:r>
              <w:rPr>
                <w:rFonts w:eastAsia="TimesNewRoman"/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f</w:t>
            </w:r>
            <w:r>
              <w:rPr>
                <w:rFonts w:eastAsia="TimesNewRoman"/>
                <w:color w:val="000000"/>
                <w:sz w:val="24"/>
              </w:rPr>
              <w:t>or western blot)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Anti-CHOP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antibody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CST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#2895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eastAsia="TimesNewRoman"/>
                <w:color w:val="000000"/>
                <w:sz w:val="24"/>
              </w:rPr>
              <w:t>:1000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Torres, Sandra et al. “Acid ceramidase improves mitochondrial function and oxidative stress in Niemann-Pick type C disease by repressing STARD1 expression and mitochondrial cholesterol accumulation.” Redox biology vol. 45: 102052 (2021).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GAPDH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(For western blot)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Anti-GAPDH antibody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</w:t>
            </w:r>
            <w:r>
              <w:rPr>
                <w:rFonts w:eastAsia="TimesNewRoman"/>
                <w:color w:val="000000"/>
                <w:sz w:val="24"/>
              </w:rPr>
              <w:t>bcam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sz w:val="24"/>
              </w:rPr>
              <w:t>ab8245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</w:t>
            </w:r>
            <w:r>
              <w:rPr>
                <w:rFonts w:eastAsia="TimesNewRoman"/>
                <w:color w:val="000000"/>
                <w:sz w:val="24"/>
              </w:rPr>
              <w:t>:1000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Lin Q et al. Circular RNA ITCH downregulates GLUT1 and suppresses glucose uptake in melanoma to inhibit cancer cell proliferation. J Dermatolog Treat 32:231-235 (2021)</w:t>
            </w:r>
            <w:r>
              <w:rPr>
                <w:rFonts w:hint="eastAsia"/>
                <w:color w:val="000000"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HBsAg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(For Immunofluorescence staining)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A</w:t>
            </w:r>
            <w:r>
              <w:rPr>
                <w:rFonts w:hint="eastAsia" w:eastAsia="TimesNewRoman"/>
                <w:color w:val="000000"/>
                <w:sz w:val="24"/>
              </w:rPr>
              <w:t>nti</w:t>
            </w:r>
            <w:r>
              <w:rPr>
                <w:rFonts w:eastAsia="TimesNewRoman"/>
                <w:color w:val="000000"/>
                <w:sz w:val="24"/>
              </w:rPr>
              <w:t>-</w:t>
            </w:r>
            <w:r>
              <w:rPr>
                <w:rFonts w:hint="eastAsia"/>
                <w:sz w:val="24"/>
              </w:rPr>
              <w:t>HBsAg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Santa Cruz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sc-53299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1:800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 xml:space="preserve">Murphy CM et al. </w:t>
            </w:r>
            <w:r>
              <w:t xml:space="preserve"> </w:t>
            </w:r>
            <w:r>
              <w:rPr>
                <w:rFonts w:eastAsia="TimesNewRoman"/>
                <w:color w:val="000000"/>
                <w:sz w:val="24"/>
              </w:rPr>
              <w:t>Hepatitis B Virus X Protein Promotes Degradation of SMC5/6 to Enhance HBV Replication. Cell Rep. 16:2846-2854 (2016).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Calnexin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(For Immunofluorescence staining)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Anti-</w:t>
            </w:r>
            <w:r>
              <w:rPr>
                <w:sz w:val="24"/>
              </w:rPr>
              <w:t>calnexin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t>Cell Signaling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# 2679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1:100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Shi L et al. Addiction to Golgi-resident PI4P synthesis in chromosome 1q21.3-amplified lung adenocarcinoma cells. Proc Natl Acad Sci U S A. 118:e2023537118 (2021).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Anti-mouse IgG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(For Immunofluorescence staining)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Alexa488-conjugated donkey anti-mouse IgG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Invitrogen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bookmarkStart w:id="3" w:name="OLE_LINK3"/>
            <w:r>
              <w:rPr>
                <w:sz w:val="24"/>
              </w:rPr>
              <w:t>A3</w:t>
            </w:r>
            <w:bookmarkStart w:id="5" w:name="_GoBack"/>
            <w:bookmarkEnd w:id="5"/>
            <w:r>
              <w:rPr>
                <w:sz w:val="24"/>
              </w:rPr>
              <w:t>2766</w:t>
            </w:r>
            <w:bookmarkEnd w:id="3"/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bookmarkStart w:id="4" w:name="OLE_LINK2"/>
            <w:r>
              <w:rPr>
                <w:rFonts w:hint="eastAsia" w:eastAsia="TimesNewRoman"/>
                <w:color w:val="000000"/>
                <w:sz w:val="24"/>
              </w:rPr>
              <w:t>1:100</w:t>
            </w:r>
            <w:r>
              <w:rPr>
                <w:rFonts w:eastAsia="TimesNewRoman"/>
                <w:color w:val="000000"/>
                <w:sz w:val="24"/>
              </w:rPr>
              <w:t>0</w:t>
            </w:r>
            <w:bookmarkEnd w:id="4"/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-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Anti-rabbit IgG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(For Immunofluorescence staining)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Goat anti-Rabbit IgG,</w:t>
            </w:r>
            <w:r>
              <w:t xml:space="preserve"> </w:t>
            </w:r>
            <w:r>
              <w:rPr>
                <w:rFonts w:eastAsia="TimesNewRoman"/>
                <w:color w:val="000000"/>
                <w:sz w:val="24"/>
              </w:rPr>
              <w:t>Cyanine3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rPr>
                <w:rFonts w:eastAsia="TimesNewRoman"/>
                <w:color w:val="000000"/>
                <w:sz w:val="24"/>
              </w:rPr>
              <w:t>Invitrogen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A1</w:t>
            </w:r>
            <w:r>
              <w:rPr>
                <w:sz w:val="24"/>
              </w:rPr>
              <w:t>0520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1:100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-</w:t>
            </w:r>
          </w:p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exact"/>
        </w:trPr>
        <w:tc>
          <w:tcPr>
            <w:tcW w:w="280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FLAG</w:t>
            </w:r>
          </w:p>
          <w:p>
            <w:pPr>
              <w:jc w:val="center"/>
              <w:rPr>
                <w:rFonts w:hint="default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( for </w:t>
            </w:r>
            <w:r>
              <w:rPr>
                <w:rFonts w:eastAsia="TimesNewRoman"/>
                <w:color w:val="000000"/>
                <w:sz w:val="24"/>
              </w:rPr>
              <w:t>western blot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)</w:t>
            </w:r>
          </w:p>
        </w:tc>
        <w:tc>
          <w:tcPr>
            <w:tcW w:w="19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Anti-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FLAG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 w:eastAsia="TimesNewRoman"/>
                <w:color w:val="000000"/>
                <w:sz w:val="24"/>
              </w:rPr>
              <w:t>antibody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Sigma-Aldrich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F1804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TimesNewRoman"/>
                <w:color w:val="000000"/>
                <w:sz w:val="24"/>
              </w:rPr>
            </w:pPr>
            <w:r>
              <w:rPr>
                <w:rFonts w:hint="eastAsia" w:eastAsia="TimesNewRoman"/>
                <w:color w:val="000000"/>
                <w:sz w:val="24"/>
              </w:rPr>
              <w:t>1:100</w:t>
            </w:r>
            <w:r>
              <w:rPr>
                <w:rFonts w:eastAsia="TimesNewRoman"/>
                <w:color w:val="000000"/>
                <w:sz w:val="24"/>
              </w:rPr>
              <w:t>0</w:t>
            </w:r>
          </w:p>
        </w:tc>
        <w:tc>
          <w:tcPr>
            <w:tcW w:w="49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NewRoman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Y0MbM0MzY2MDYwMDBT0lEKTi0uzszPAykwrAUACmhqCiwAAAA="/>
  </w:docVars>
  <w:rsids>
    <w:rsidRoot w:val="3B7C50AA"/>
    <w:rsid w:val="0017581B"/>
    <w:rsid w:val="003B302D"/>
    <w:rsid w:val="009B3538"/>
    <w:rsid w:val="00AC54F6"/>
    <w:rsid w:val="00BD5DDD"/>
    <w:rsid w:val="00CA120C"/>
    <w:rsid w:val="00CF7C6B"/>
    <w:rsid w:val="00D67BA9"/>
    <w:rsid w:val="00DF6E9F"/>
    <w:rsid w:val="0B333641"/>
    <w:rsid w:val="0BFD46F9"/>
    <w:rsid w:val="0CEC23F3"/>
    <w:rsid w:val="0FFE5044"/>
    <w:rsid w:val="1E3E72E7"/>
    <w:rsid w:val="21EA2C05"/>
    <w:rsid w:val="2B563A36"/>
    <w:rsid w:val="31950DB7"/>
    <w:rsid w:val="377425BE"/>
    <w:rsid w:val="37894FE9"/>
    <w:rsid w:val="37CB43C5"/>
    <w:rsid w:val="3B7C50AA"/>
    <w:rsid w:val="421D32B2"/>
    <w:rsid w:val="621F062E"/>
    <w:rsid w:val="629C2F77"/>
    <w:rsid w:val="63596CBC"/>
    <w:rsid w:val="71800D4D"/>
    <w:rsid w:val="7376097E"/>
    <w:rsid w:val="793D69A2"/>
    <w:rsid w:val="7DAB5902"/>
    <w:rsid w:val="7F71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4"/>
    <w:qFormat/>
    <w:uiPriority w:val="0"/>
    <w:rPr>
      <w:i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464</Words>
  <Characters>2649</Characters>
  <Lines>22</Lines>
  <Paragraphs>6</Paragraphs>
  <TotalTime>2</TotalTime>
  <ScaleCrop>false</ScaleCrop>
  <LinksUpToDate>false</LinksUpToDate>
  <CharactersWithSpaces>3107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2021-07-19T06:01:00Z</dcterms:created>
  <dc:creator>lenovo</dc:creator>
  <cp:lastModifiedBy>Shiliang Cai</cp:lastModifiedBy>
  <dcterms:modified xsi:type="dcterms:W3CDTF">2021-12-20T01:55:14Z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9A2E08EF05584C2F84BB95EFD7DDBC33</vt:lpwstr>
  </property>
</Properties>
</file>