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8AB528" w14:textId="77777777" w:rsidR="00FD701A" w:rsidRPr="00C8309C" w:rsidRDefault="00FD701A" w:rsidP="00FD701A">
      <w:pPr>
        <w:jc w:val="center"/>
        <w:rPr>
          <w:b/>
          <w:bCs/>
        </w:rPr>
      </w:pPr>
      <w:r w:rsidRPr="00C8309C">
        <w:rPr>
          <w:b/>
          <w:bCs/>
        </w:rPr>
        <w:t>Cardiovascular Disease and Cumulative Incidence of Cognitive Impairment in the Health and Retirement Study</w:t>
      </w:r>
    </w:p>
    <w:p w14:paraId="0054AA62" w14:textId="77777777" w:rsidR="00FD701A" w:rsidRPr="00C8309C" w:rsidRDefault="00FD701A" w:rsidP="00FD701A">
      <w:pPr>
        <w:jc w:val="center"/>
      </w:pPr>
    </w:p>
    <w:p w14:paraId="4B1925D4" w14:textId="77777777" w:rsidR="00FD701A" w:rsidRPr="00C8309C" w:rsidRDefault="00FD701A" w:rsidP="00FD701A">
      <w:pPr>
        <w:jc w:val="center"/>
        <w:outlineLvl w:val="0"/>
        <w:rPr>
          <w:vertAlign w:val="superscript"/>
        </w:rPr>
      </w:pPr>
      <w:r w:rsidRPr="00C8309C">
        <w:t xml:space="preserve">Allyson L. </w:t>
      </w:r>
      <w:proofErr w:type="spellStart"/>
      <w:r w:rsidRPr="00C8309C">
        <w:t>Covello</w:t>
      </w:r>
      <w:proofErr w:type="spellEnd"/>
      <w:r w:rsidRPr="00C8309C">
        <w:t xml:space="preserve"> BA,</w:t>
      </w:r>
      <w:r w:rsidRPr="00C8309C">
        <w:rPr>
          <w:vertAlign w:val="superscript"/>
        </w:rPr>
        <w:t>1</w:t>
      </w:r>
      <w:r w:rsidRPr="00C8309C">
        <w:t xml:space="preserve"> Leora I. Horwitz MD,</w:t>
      </w:r>
      <w:r w:rsidRPr="00C8309C">
        <w:rPr>
          <w:vertAlign w:val="superscript"/>
        </w:rPr>
        <w:t>2</w:t>
      </w:r>
      <w:r w:rsidRPr="00C8309C">
        <w:t xml:space="preserve"> Shreya Singhal MS,</w:t>
      </w:r>
      <w:r w:rsidRPr="00C8309C">
        <w:rPr>
          <w:vertAlign w:val="superscript"/>
        </w:rPr>
        <w:t>3</w:t>
      </w:r>
      <w:r w:rsidRPr="00C8309C">
        <w:t xml:space="preserve"> Caroline S. </w:t>
      </w:r>
      <w:proofErr w:type="spellStart"/>
      <w:r w:rsidRPr="00C8309C">
        <w:t>Blaum</w:t>
      </w:r>
      <w:proofErr w:type="spellEnd"/>
      <w:r w:rsidRPr="00C8309C">
        <w:t xml:space="preserve"> MD,</w:t>
      </w:r>
      <w:r w:rsidRPr="00C8309C">
        <w:rPr>
          <w:vertAlign w:val="superscript"/>
        </w:rPr>
        <w:t xml:space="preserve"> 4</w:t>
      </w:r>
      <w:r w:rsidRPr="00C8309C">
        <w:t xml:space="preserve"> Yi Li MS,</w:t>
      </w:r>
      <w:r w:rsidRPr="00C8309C">
        <w:rPr>
          <w:vertAlign w:val="superscript"/>
        </w:rPr>
        <w:t xml:space="preserve"> 5</w:t>
      </w:r>
      <w:r w:rsidRPr="00C8309C">
        <w:t xml:space="preserve"> John A. Dodson MD, MPH</w:t>
      </w:r>
      <w:r w:rsidRPr="00C8309C">
        <w:rPr>
          <w:vertAlign w:val="superscript"/>
        </w:rPr>
        <w:t>2,6</w:t>
      </w:r>
    </w:p>
    <w:p w14:paraId="1ECD00A6" w14:textId="77777777" w:rsidR="00FD701A" w:rsidRPr="00C8309C" w:rsidRDefault="00FD701A" w:rsidP="00FD701A">
      <w:pPr>
        <w:outlineLvl w:val="0"/>
      </w:pPr>
    </w:p>
    <w:p w14:paraId="399E9EDF" w14:textId="77777777" w:rsidR="00FD701A" w:rsidRPr="00C8309C" w:rsidRDefault="00FD701A" w:rsidP="00FD701A">
      <w:pPr>
        <w:outlineLvl w:val="0"/>
      </w:pPr>
      <w:r w:rsidRPr="00C8309C">
        <w:rPr>
          <w:vertAlign w:val="superscript"/>
        </w:rPr>
        <w:t>1</w:t>
      </w:r>
      <w:r w:rsidRPr="00C8309C">
        <w:t xml:space="preserve">NYU School of Medicine, New York, NY </w:t>
      </w:r>
    </w:p>
    <w:p w14:paraId="15419E31" w14:textId="77777777" w:rsidR="00FD701A" w:rsidRPr="00C8309C" w:rsidRDefault="00FD701A" w:rsidP="00FD701A">
      <w:pPr>
        <w:outlineLvl w:val="0"/>
      </w:pPr>
      <w:r w:rsidRPr="00C8309C">
        <w:rPr>
          <w:vertAlign w:val="superscript"/>
        </w:rPr>
        <w:t>2</w:t>
      </w:r>
      <w:r w:rsidRPr="00C8309C">
        <w:t>Division of Healthcare Delivery Science, Department of Population Health, NYU School of    Medicine</w:t>
      </w:r>
    </w:p>
    <w:p w14:paraId="115E74BA" w14:textId="77777777" w:rsidR="00FD701A" w:rsidRPr="00C8309C" w:rsidRDefault="00FD701A" w:rsidP="00FD701A">
      <w:pPr>
        <w:outlineLvl w:val="0"/>
      </w:pPr>
      <w:r w:rsidRPr="00C8309C">
        <w:rPr>
          <w:vertAlign w:val="superscript"/>
        </w:rPr>
        <w:t>3</w:t>
      </w:r>
      <w:r w:rsidRPr="00C8309C">
        <w:t xml:space="preserve">NYU Steinhardt School of Culture, Education, and Human Development, New York, NY </w:t>
      </w:r>
    </w:p>
    <w:p w14:paraId="6FB0BC83" w14:textId="77777777" w:rsidR="00FD701A" w:rsidRPr="00C8309C" w:rsidRDefault="00FD701A" w:rsidP="00FD701A">
      <w:pPr>
        <w:outlineLvl w:val="0"/>
      </w:pPr>
      <w:r w:rsidRPr="00C8309C">
        <w:rPr>
          <w:vertAlign w:val="superscript"/>
        </w:rPr>
        <w:t>4</w:t>
      </w:r>
      <w:r w:rsidRPr="00C8309C">
        <w:t>National Committee for Quality Assurance, Washington, DC</w:t>
      </w:r>
    </w:p>
    <w:p w14:paraId="6A3CEF97" w14:textId="77777777" w:rsidR="00FD701A" w:rsidRPr="00C8309C" w:rsidRDefault="00FD701A" w:rsidP="00FD701A">
      <w:pPr>
        <w:outlineLvl w:val="0"/>
      </w:pPr>
      <w:r w:rsidRPr="00C8309C">
        <w:rPr>
          <w:vertAlign w:val="superscript"/>
        </w:rPr>
        <w:t>5</w:t>
      </w:r>
      <w:r w:rsidRPr="00C8309C">
        <w:t>Division of Biostatistics, Department of Population Health, NYU School of Medicine</w:t>
      </w:r>
    </w:p>
    <w:p w14:paraId="3EC05364" w14:textId="77777777" w:rsidR="00FD701A" w:rsidRPr="00C8309C" w:rsidRDefault="00FD701A" w:rsidP="00FD701A">
      <w:pPr>
        <w:outlineLvl w:val="0"/>
      </w:pPr>
      <w:r w:rsidRPr="00C8309C">
        <w:rPr>
          <w:vertAlign w:val="superscript"/>
        </w:rPr>
        <w:t>6</w:t>
      </w:r>
      <w:r w:rsidRPr="00C8309C">
        <w:t>Leon H. Charney Division of Cardiology, Department of Medicine, NYU School of Medicine</w:t>
      </w:r>
    </w:p>
    <w:p w14:paraId="42E36752" w14:textId="77777777" w:rsidR="00FD701A" w:rsidRDefault="00FD701A" w:rsidP="006B0605">
      <w:pPr>
        <w:spacing w:after="160" w:line="259" w:lineRule="auto"/>
        <w:rPr>
          <w:b/>
          <w:bCs/>
          <w:color w:val="000000"/>
          <w:shd w:val="clear" w:color="auto" w:fill="FFFFFF"/>
        </w:rPr>
      </w:pPr>
    </w:p>
    <w:p w14:paraId="71992AEE" w14:textId="77777777" w:rsidR="00FD701A" w:rsidRDefault="00FD701A" w:rsidP="006B0605">
      <w:pPr>
        <w:spacing w:after="160" w:line="259" w:lineRule="auto"/>
        <w:rPr>
          <w:b/>
          <w:bCs/>
          <w:color w:val="000000"/>
          <w:shd w:val="clear" w:color="auto" w:fill="FFFFFF"/>
        </w:rPr>
      </w:pPr>
    </w:p>
    <w:p w14:paraId="4EAA9AA5" w14:textId="77777777" w:rsidR="00FD701A" w:rsidRDefault="00FD701A" w:rsidP="006B0605">
      <w:pPr>
        <w:spacing w:after="160" w:line="259" w:lineRule="auto"/>
        <w:rPr>
          <w:b/>
          <w:bCs/>
          <w:color w:val="000000"/>
          <w:shd w:val="clear" w:color="auto" w:fill="FFFFFF"/>
        </w:rPr>
      </w:pPr>
    </w:p>
    <w:p w14:paraId="29ACB6CE" w14:textId="77777777" w:rsidR="00FD701A" w:rsidRDefault="00FD701A" w:rsidP="006B0605">
      <w:pPr>
        <w:spacing w:after="160" w:line="259" w:lineRule="auto"/>
        <w:rPr>
          <w:b/>
          <w:bCs/>
          <w:color w:val="000000"/>
          <w:shd w:val="clear" w:color="auto" w:fill="FFFFFF"/>
        </w:rPr>
      </w:pPr>
    </w:p>
    <w:p w14:paraId="77E2269A" w14:textId="77777777" w:rsidR="00FD701A" w:rsidRDefault="00FD701A" w:rsidP="006B0605">
      <w:pPr>
        <w:spacing w:after="160" w:line="259" w:lineRule="auto"/>
        <w:rPr>
          <w:b/>
          <w:bCs/>
          <w:color w:val="000000"/>
          <w:shd w:val="clear" w:color="auto" w:fill="FFFFFF"/>
        </w:rPr>
      </w:pPr>
    </w:p>
    <w:p w14:paraId="43D1D165" w14:textId="77777777" w:rsidR="00FD701A" w:rsidRDefault="00FD701A" w:rsidP="006B0605">
      <w:pPr>
        <w:spacing w:after="160" w:line="259" w:lineRule="auto"/>
        <w:rPr>
          <w:b/>
          <w:bCs/>
          <w:color w:val="000000"/>
          <w:shd w:val="clear" w:color="auto" w:fill="FFFFFF"/>
        </w:rPr>
      </w:pPr>
    </w:p>
    <w:p w14:paraId="3228334B" w14:textId="77777777" w:rsidR="00FD701A" w:rsidRDefault="00FD701A" w:rsidP="006B0605">
      <w:pPr>
        <w:spacing w:after="160" w:line="259" w:lineRule="auto"/>
        <w:rPr>
          <w:b/>
          <w:bCs/>
          <w:color w:val="000000"/>
          <w:shd w:val="clear" w:color="auto" w:fill="FFFFFF"/>
        </w:rPr>
      </w:pPr>
    </w:p>
    <w:p w14:paraId="2285A2C3" w14:textId="77777777" w:rsidR="00FD701A" w:rsidRDefault="00FD701A" w:rsidP="006B0605">
      <w:pPr>
        <w:spacing w:after="160" w:line="259" w:lineRule="auto"/>
        <w:rPr>
          <w:b/>
          <w:bCs/>
          <w:color w:val="000000"/>
          <w:shd w:val="clear" w:color="auto" w:fill="FFFFFF"/>
        </w:rPr>
      </w:pPr>
    </w:p>
    <w:p w14:paraId="553DB373" w14:textId="77777777" w:rsidR="00FD701A" w:rsidRDefault="00FD701A" w:rsidP="006B0605">
      <w:pPr>
        <w:spacing w:after="160" w:line="259" w:lineRule="auto"/>
        <w:rPr>
          <w:b/>
          <w:bCs/>
          <w:color w:val="000000"/>
          <w:shd w:val="clear" w:color="auto" w:fill="FFFFFF"/>
        </w:rPr>
      </w:pPr>
    </w:p>
    <w:p w14:paraId="73BD2B96" w14:textId="77777777" w:rsidR="00FD701A" w:rsidRDefault="00FD701A" w:rsidP="006B0605">
      <w:pPr>
        <w:spacing w:after="160" w:line="259" w:lineRule="auto"/>
        <w:rPr>
          <w:b/>
          <w:bCs/>
          <w:color w:val="000000"/>
          <w:shd w:val="clear" w:color="auto" w:fill="FFFFFF"/>
        </w:rPr>
      </w:pPr>
    </w:p>
    <w:p w14:paraId="5513F9F3" w14:textId="77777777" w:rsidR="00FD701A" w:rsidRDefault="00FD701A" w:rsidP="006B0605">
      <w:pPr>
        <w:spacing w:after="160" w:line="259" w:lineRule="auto"/>
        <w:rPr>
          <w:b/>
          <w:bCs/>
          <w:color w:val="000000"/>
          <w:shd w:val="clear" w:color="auto" w:fill="FFFFFF"/>
        </w:rPr>
      </w:pPr>
    </w:p>
    <w:p w14:paraId="1F9DD98C" w14:textId="77777777" w:rsidR="00FD701A" w:rsidRDefault="00FD701A" w:rsidP="006B0605">
      <w:pPr>
        <w:spacing w:after="160" w:line="259" w:lineRule="auto"/>
        <w:rPr>
          <w:b/>
          <w:bCs/>
          <w:color w:val="000000"/>
          <w:shd w:val="clear" w:color="auto" w:fill="FFFFFF"/>
        </w:rPr>
      </w:pPr>
    </w:p>
    <w:p w14:paraId="394E4BEA" w14:textId="77777777" w:rsidR="00FD701A" w:rsidRDefault="00FD701A" w:rsidP="006B0605">
      <w:pPr>
        <w:spacing w:after="160" w:line="259" w:lineRule="auto"/>
        <w:rPr>
          <w:b/>
          <w:bCs/>
          <w:color w:val="000000"/>
          <w:shd w:val="clear" w:color="auto" w:fill="FFFFFF"/>
        </w:rPr>
      </w:pPr>
    </w:p>
    <w:p w14:paraId="5917FC47" w14:textId="77777777" w:rsidR="00FD701A" w:rsidRDefault="00FD701A" w:rsidP="006B0605">
      <w:pPr>
        <w:spacing w:after="160" w:line="259" w:lineRule="auto"/>
        <w:rPr>
          <w:b/>
          <w:bCs/>
          <w:color w:val="000000"/>
          <w:shd w:val="clear" w:color="auto" w:fill="FFFFFF"/>
        </w:rPr>
      </w:pPr>
    </w:p>
    <w:p w14:paraId="1FBFB3A0" w14:textId="77777777" w:rsidR="00FD701A" w:rsidRDefault="00FD701A" w:rsidP="006B0605">
      <w:pPr>
        <w:spacing w:after="160" w:line="259" w:lineRule="auto"/>
        <w:rPr>
          <w:b/>
          <w:bCs/>
          <w:color w:val="000000"/>
          <w:shd w:val="clear" w:color="auto" w:fill="FFFFFF"/>
        </w:rPr>
      </w:pPr>
    </w:p>
    <w:p w14:paraId="6BDD7D75" w14:textId="77777777" w:rsidR="00FD701A" w:rsidRDefault="00FD701A" w:rsidP="006B0605">
      <w:pPr>
        <w:spacing w:after="160" w:line="259" w:lineRule="auto"/>
        <w:rPr>
          <w:b/>
          <w:bCs/>
          <w:color w:val="000000"/>
          <w:shd w:val="clear" w:color="auto" w:fill="FFFFFF"/>
        </w:rPr>
      </w:pPr>
    </w:p>
    <w:p w14:paraId="75FE85BD" w14:textId="77777777" w:rsidR="00FD701A" w:rsidRDefault="00FD701A" w:rsidP="006B0605">
      <w:pPr>
        <w:spacing w:after="160" w:line="259" w:lineRule="auto"/>
        <w:rPr>
          <w:b/>
          <w:bCs/>
          <w:color w:val="000000"/>
          <w:shd w:val="clear" w:color="auto" w:fill="FFFFFF"/>
        </w:rPr>
      </w:pPr>
    </w:p>
    <w:p w14:paraId="64753AD2" w14:textId="77777777" w:rsidR="00FD701A" w:rsidRDefault="00FD701A" w:rsidP="006B0605">
      <w:pPr>
        <w:spacing w:after="160" w:line="259" w:lineRule="auto"/>
        <w:rPr>
          <w:b/>
          <w:bCs/>
          <w:color w:val="000000"/>
          <w:shd w:val="clear" w:color="auto" w:fill="FFFFFF"/>
        </w:rPr>
      </w:pPr>
    </w:p>
    <w:p w14:paraId="410BADF6" w14:textId="77777777" w:rsidR="00FD701A" w:rsidRDefault="00FD701A" w:rsidP="006B0605">
      <w:pPr>
        <w:spacing w:after="160" w:line="259" w:lineRule="auto"/>
        <w:rPr>
          <w:b/>
          <w:bCs/>
          <w:color w:val="000000"/>
          <w:shd w:val="clear" w:color="auto" w:fill="FFFFFF"/>
        </w:rPr>
      </w:pPr>
    </w:p>
    <w:p w14:paraId="20CD85D7" w14:textId="77777777" w:rsidR="00FD701A" w:rsidRDefault="00FD701A" w:rsidP="006B0605">
      <w:pPr>
        <w:spacing w:after="160" w:line="259" w:lineRule="auto"/>
        <w:rPr>
          <w:b/>
          <w:bCs/>
          <w:color w:val="000000"/>
          <w:shd w:val="clear" w:color="auto" w:fill="FFFFFF"/>
        </w:rPr>
      </w:pPr>
    </w:p>
    <w:p w14:paraId="3D794B55" w14:textId="781D8D95" w:rsidR="006B0605" w:rsidRPr="00D574AF" w:rsidRDefault="006B0605" w:rsidP="006B0605">
      <w:pPr>
        <w:spacing w:after="160" w:line="259" w:lineRule="auto"/>
        <w:rPr>
          <w:color w:val="000000"/>
          <w:shd w:val="clear" w:color="auto" w:fill="FFFFFF"/>
        </w:rPr>
      </w:pPr>
      <w:r w:rsidRPr="00860D16">
        <w:rPr>
          <w:b/>
          <w:bCs/>
          <w:color w:val="000000"/>
          <w:shd w:val="clear" w:color="auto" w:fill="FFFFFF"/>
        </w:rPr>
        <w:lastRenderedPageBreak/>
        <w:t>SUPPLEMENTAL MATERIALS</w:t>
      </w:r>
    </w:p>
    <w:p w14:paraId="714BC049" w14:textId="77777777" w:rsidR="006B0605" w:rsidRPr="00860D16" w:rsidRDefault="006B0605" w:rsidP="006B0605">
      <w:pPr>
        <w:spacing w:line="480" w:lineRule="auto"/>
        <w:rPr>
          <w:b/>
          <w:bCs/>
          <w:color w:val="000000"/>
          <w:shd w:val="clear" w:color="auto" w:fill="FFFFFF"/>
        </w:rPr>
      </w:pPr>
      <w:r w:rsidRPr="00860D16">
        <w:rPr>
          <w:b/>
          <w:bCs/>
          <w:color w:val="000000"/>
          <w:shd w:val="clear" w:color="auto" w:fill="FFFFFF"/>
        </w:rPr>
        <w:t>Supplementary Methods: Definition of CVD and Cognitive Impairment</w:t>
      </w:r>
    </w:p>
    <w:p w14:paraId="021CAA82" w14:textId="77777777" w:rsidR="006B0605" w:rsidRPr="00860D16" w:rsidRDefault="006B0605" w:rsidP="006B0605">
      <w:pPr>
        <w:spacing w:line="480" w:lineRule="auto"/>
        <w:rPr>
          <w:iCs/>
        </w:rPr>
      </w:pPr>
      <w:r w:rsidRPr="00860D16">
        <w:rPr>
          <w:i/>
        </w:rPr>
        <w:t>Definition of CVD Group</w:t>
      </w:r>
    </w:p>
    <w:p w14:paraId="20C5E59D" w14:textId="77777777" w:rsidR="006B0605" w:rsidRPr="00860D16" w:rsidRDefault="006B0605" w:rsidP="006B0605">
      <w:pPr>
        <w:spacing w:line="480" w:lineRule="auto"/>
        <w:ind w:firstLine="720"/>
        <w:rPr>
          <w:iCs/>
        </w:rPr>
      </w:pPr>
      <w:r w:rsidRPr="00860D16">
        <w:rPr>
          <w:iCs/>
        </w:rPr>
        <w:t>To adjust for the potential inconsistencies in self-reported data from longitudinal surveys, we employed an adjudication method previously developed for refining participants’ responses to HRS questions about chronic disease, including CVD.</w:t>
      </w:r>
      <w:r w:rsidRPr="00860D16">
        <w:rPr>
          <w:iCs/>
        </w:rPr>
        <w:fldChar w:fldCharType="begin" w:fldLock="1"/>
      </w:r>
      <w:r>
        <w:rPr>
          <w:iCs/>
        </w:rPr>
        <w:instrText>ADDIN CSL_CITATION {"citationItems":[{"id":"ITEM-1","itemData":{"DOI":"10.1093/geronb/gbw063","ISBN":"1079-5014","PMID":"27260670","abstract":"Objectives: Chronic disease data from longitudinal health interview surveys are frequently used in epidemiologic studies. These data may be limited by inconsistencies in self-report by respondents across waves. We examined disease inconsistencies in the Health and Retirement Study and investigated a multistep method of adjudication. We hypothesized a greater likelihood of inconsistences among respondents with cognitive impairment, of underrepresented race/ethnic groups, having lower education, or having less income/wealth. Method: We analyzed Waves 1995-2010, including adults 51 years and older (N = 24,156). Diseases included hypertension, heart disease, lung disease, diabetes, cancer, stroke, and arthritis. We used questions about the diseases to formulate a multistep adjudication method to resolve inconsistencies across waves. Results: Thirty percent had inconsistency in their self-report of diseases across waves, with cognitive impairment, proxy status, age, Hispanic ethnicity, and wealth as key predictors. Arthritis and hypertension had the most frequent inconsistencies; stroke and cancer, the fewest. Using a stepwise method, we adjudicated 60%-75% of inconsistent responses. Discussion: Discrepancies in the self-report of diseases across multiple waves of health interview surveys are common. Differences in prevalence between original and adjudicated data may be substantial for some diseases and for some groups, (e.g., the cognitively impaired).","author":[{"dropping-particle":"","family":"Cigolle","given":"C T","non-dropping-particle":"","parse-names":false,"suffix":""},{"dropping-particle":"","family":"Nagel","given":"C L","non-dropping-particle":"","parse-names":false,"suffix":""},{"dropping-particle":"","family":"Blaum","given":"C S","non-dropping-particle":"","parse-names":false,"suffix":""},{"dropping-particle":"","family":"Liang","given":"J","non-dropping-particle":"","parse-names":false,"suffix":""},{"dropping-particle":"","family":"Quinones","given":"A R","non-dropping-particle":"","parse-names":false,"suffix":""}],"container-title":"J Gerontol B Psychol Sci Soc Sci","edition":"2016/06/05","id":"ITEM-1","issue":"5","issued":{"date-parts":[["2018"]]},"language":"eng","note":"1758-5368\nCigolle, Christine T\nNagel, Corey L\nBlaum, Caroline S\nLiang, Jersey\nQuinones, Ana R\nR03 AG048852/AG/NIA NIH HHS/United States\nJournal Article\nUnited States\nJ Gerontol B Psychol Sci Soc Sci. 2018 Jun 14;73(5):901-912. doi: 10.1093/geronb/gbw063.","page":"901-912","title":"Inconsistency in the Self-report of Chronic Diseases in Panel Surveys: Developing an Adjudication Method for the Health and Retirement Study","type":"article-journal","volume":"73"},"uris":["http://www.mendeley.com/documents/?uuid=edbdc1a4-6d5f-473c-96d2-9c5a19476eb6"]}],"mendeley":{"formattedCitation":"[23]","plainTextFormattedCitation":"[23]","previouslyFormattedCitation":"(23)"},"properties":{"noteIndex":0},"schema":"https://github.com/citation-style-language/schema/raw/master/csl-citation.json"}</w:instrText>
      </w:r>
      <w:r w:rsidRPr="00860D16">
        <w:rPr>
          <w:iCs/>
        </w:rPr>
        <w:fldChar w:fldCharType="separate"/>
      </w:r>
      <w:r w:rsidRPr="00B070AB">
        <w:rPr>
          <w:iCs/>
          <w:noProof/>
        </w:rPr>
        <w:t>[23]</w:t>
      </w:r>
      <w:r w:rsidRPr="00860D16">
        <w:rPr>
          <w:iCs/>
        </w:rPr>
        <w:fldChar w:fldCharType="end"/>
      </w:r>
      <w:r w:rsidRPr="00860D16">
        <w:rPr>
          <w:iCs/>
        </w:rPr>
        <w:t xml:space="preserve"> This method involved looking at participants’ responses to additional CVD questions regarding medication use, previous surgery, and what specific heart condition they had. These questions were seen as further support for a participant having CVD and were used to resolve discrepancies where respondents who had indicated that they had CVD reported in the subsequent survey wave that they did not have CVD.</w:t>
      </w:r>
    </w:p>
    <w:p w14:paraId="63068E34" w14:textId="77777777" w:rsidR="006B0605" w:rsidRPr="00860D16" w:rsidRDefault="006B0605" w:rsidP="006B0605">
      <w:pPr>
        <w:spacing w:line="480" w:lineRule="auto"/>
        <w:ind w:firstLine="720"/>
        <w:rPr>
          <w:iCs/>
        </w:rPr>
      </w:pPr>
      <w:r w:rsidRPr="00860D16">
        <w:rPr>
          <w:iCs/>
        </w:rPr>
        <w:t xml:space="preserve">After applying this adjudication method to resolve survey-to-survey discrepancies, we then excluded any participants who still had self-report inconsistencies over time or who were missing CVD data the year before they responded ‘yes’ to the survey question about CVD, as we could not accurately determine their year of CVD diagnosis. Participants who reported CVD in the first year they were surveyed were classified as having prevalent CVD and were also excluded from the main analysis, as we could not determine year their year of CVD diagnosis, and our question of interest was in describing cognitive impairment in the years following incident CVD. We further excluded participants with cognitive impairment in the year of or before CVD diagnosis, using any of the following: (1) abnormal cognitive testing (described below); (2) self-reported diagnosis of Alzheimer’s disease or other dementia; or (3) use of medication prescribed by a doctor to help with memory problems. This exclusion was necessary to ensure that participants were not cognitively impaired at the time of CVD diagnosis. We also excluded any HRS participants under the age of 65, as our cognitive assessment tool (described </w:t>
      </w:r>
      <w:r w:rsidRPr="00860D16">
        <w:rPr>
          <w:iCs/>
        </w:rPr>
        <w:lastRenderedPageBreak/>
        <w:t xml:space="preserve">below) had not been extensively validated in this younger population, and any participants over the age of 85, as we could not appropriately generate an age-matched control group for these older participants. Additional exclusion criteria included missing or inconsistent age data in any survey year, missing gender/education data in all survey years missing data on cognition at baseline or during 8-year follow-up period, and missing data on marital status, BMI, smoking status, riskiness of drinking behavior, presence of depressive symptoms, or comorbid chronic conditions (hypertension, cancer, chronic lung disease, and diabetes) at baseline (aka year of CVD onset). </w:t>
      </w:r>
    </w:p>
    <w:p w14:paraId="0D8A4D64" w14:textId="77777777" w:rsidR="006B0605" w:rsidRPr="00860D16" w:rsidRDefault="006B0605" w:rsidP="006B0605">
      <w:pPr>
        <w:spacing w:line="480" w:lineRule="auto"/>
        <w:rPr>
          <w:i/>
        </w:rPr>
      </w:pPr>
      <w:r w:rsidRPr="00860D16">
        <w:rPr>
          <w:i/>
        </w:rPr>
        <w:t>Definition of Control Group</w:t>
      </w:r>
    </w:p>
    <w:p w14:paraId="0DC7A968" w14:textId="77777777" w:rsidR="006B0605" w:rsidRPr="00860D16" w:rsidRDefault="006B0605" w:rsidP="006B0605">
      <w:pPr>
        <w:spacing w:line="480" w:lineRule="auto"/>
        <w:ind w:firstLine="720"/>
        <w:rPr>
          <w:iCs/>
        </w:rPr>
      </w:pPr>
      <w:r w:rsidRPr="00860D16">
        <w:rPr>
          <w:iCs/>
        </w:rPr>
        <w:t>We used an age-matching control-generation process that pulled control participants that were the same age as CVD participants in their year of diagnosis and defined that year as ‘baseline’ for the control participants. We generated the control at a 2:1 ratio and also matched on gender to compensate for the fact that the overall HRS population skewed more female than the CVD population.  We used the nearest neighbor matching methodology to generate the age-and gender-matched control, instead of an exact matching methodology, to account for the fact that matching to an exact year was not possible in the 80+ age range. As we did with our CVD group, we excluded anyone from the control group who was missing important demographic or cognition data, who had inconsistencies in their age reporting survey to survey, who were less than 65 or greater than 85 years old at baseline, or who had cognitive impairment at or before baseline.</w:t>
      </w:r>
    </w:p>
    <w:p w14:paraId="3FBAB779" w14:textId="77777777" w:rsidR="006B0605" w:rsidRPr="00860D16" w:rsidRDefault="006B0605" w:rsidP="006B0605">
      <w:pPr>
        <w:spacing w:line="480" w:lineRule="auto"/>
        <w:ind w:firstLine="720"/>
        <w:rPr>
          <w:iCs/>
        </w:rPr>
      </w:pPr>
      <w:r w:rsidRPr="00860D16">
        <w:rPr>
          <w:iCs/>
        </w:rPr>
        <w:t xml:space="preserve">To illustrate this control generation process further, take the example of a participant diagnosed with CVD in survey year 2000, when she was 68 years old. We included in the control group 2 participants who were also women age 68 in 2000, and we called 2000 the baseline year, </w:t>
      </w:r>
      <w:r w:rsidRPr="00860D16">
        <w:rPr>
          <w:iCs/>
        </w:rPr>
        <w:lastRenderedPageBreak/>
        <w:t>or time=0, for these 3 participants. We repeated this process for every person diagnosed with CVD in 2000, then 2002, then 2004, and so forth through 2014.</w:t>
      </w:r>
    </w:p>
    <w:p w14:paraId="791D7BBD" w14:textId="77777777" w:rsidR="006B0605" w:rsidRPr="00860D16" w:rsidRDefault="006B0605" w:rsidP="006B0605">
      <w:pPr>
        <w:spacing w:line="480" w:lineRule="auto"/>
        <w:rPr>
          <w:i/>
        </w:rPr>
      </w:pPr>
      <w:r w:rsidRPr="00860D16">
        <w:rPr>
          <w:i/>
        </w:rPr>
        <w:t>Assessment of cognitive status</w:t>
      </w:r>
    </w:p>
    <w:p w14:paraId="7B20F93E" w14:textId="77777777" w:rsidR="006B0605" w:rsidRPr="00860D16" w:rsidRDefault="006B0605" w:rsidP="006B0605">
      <w:pPr>
        <w:spacing w:line="480" w:lineRule="auto"/>
        <w:rPr>
          <w:bCs/>
        </w:rPr>
      </w:pPr>
      <w:r w:rsidRPr="00860D16">
        <w:rPr>
          <w:bCs/>
          <w:i/>
          <w:iCs/>
        </w:rPr>
        <w:t>Proxy respondents</w:t>
      </w:r>
      <w:r w:rsidRPr="00860D16">
        <w:rPr>
          <w:bCs/>
        </w:rPr>
        <w:t>: Some survey respondents in a given wave could not participate in the interview due to physical or mental limitations and instead used a proxy respondent. For those respondents, HRS offered an alternative measure of cognitive status using information from the proxy and the interviewer as to the interviewee’s cognitive status. This proxy cognition screener was scored on a 0-9 scale in the 1998 wave and a 0-11 scale in 2000-214 waves, where a score of 3 or greater was indicative of cognitive impairment.</w:t>
      </w:r>
    </w:p>
    <w:p w14:paraId="3B06BBD5" w14:textId="77777777" w:rsidR="006B0605" w:rsidRPr="00860D16" w:rsidRDefault="006B0605" w:rsidP="006B0605">
      <w:pPr>
        <w:spacing w:line="480" w:lineRule="auto"/>
        <w:rPr>
          <w:bCs/>
        </w:rPr>
      </w:pPr>
      <w:r w:rsidRPr="00860D16">
        <w:rPr>
          <w:bCs/>
          <w:i/>
          <w:iCs/>
        </w:rPr>
        <w:t>Imputed cognition values</w:t>
      </w:r>
      <w:r w:rsidRPr="00860D16">
        <w:rPr>
          <w:bCs/>
        </w:rPr>
        <w:t>: To further reduce the number of missing cognition data values, we used updated cognition data from the HRS Survey Research Center that had imputed cognition values for missing responses</w:t>
      </w:r>
      <w:r>
        <w:rPr>
          <w:bCs/>
        </w:rPr>
        <w:t xml:space="preserve"> </w:t>
      </w:r>
      <w:r w:rsidRPr="00860D16">
        <w:rPr>
          <w:bCs/>
        </w:rPr>
        <w:fldChar w:fldCharType="begin" w:fldLock="1"/>
      </w:r>
      <w:r>
        <w:rPr>
          <w:bCs/>
        </w:rPr>
        <w:instrText>ADDIN CSL_CITATION {"citationItems":[{"id":"ITEM-1","itemData":{"author":[{"dropping-particle":"","family":"Fisher","given":"Gwenith G.","non-dropping-particle":"","parse-names":false,"suffix":""},{"dropping-particle":"","family":"Hassan","given":"Halimah","non-dropping-particle":"","parse-names":false,"suffix":""},{"dropping-particle":"","family":"Faul","given":"Jessica D.","non-dropping-particle":"","parse-names":false,"suffix":""},{"dropping-particle":"","family":"Rodgers","given":"Willard L.","non-dropping-particle":"","parse-names":false,"suffix":""},{"dropping-particle":"","family":"Weir","given":"David R.","non-dropping-particle":"","parse-names":false,"suffix":""}],"id":"ITEM-1","issued":{"date-parts":[["2017"]]},"publisher":"Survey Research, Center University of Michigan","title":"Health and Retirement Study Imputation of Cognitive Functioning Measures: 1992 – 2014","type":"article"},"uris":["http://www.mendeley.com/documents/?uuid=5b34e443-5e63-4ee9-b3cb-fa0a6a678f87"]}],"mendeley":{"formattedCitation":"[28]","plainTextFormattedCitation":"[28]","previouslyFormattedCitation":"(28)"},"properties":{"noteIndex":0},"schema":"https://github.com/citation-style-language/schema/raw/master/csl-citation.json"}</w:instrText>
      </w:r>
      <w:r w:rsidRPr="00860D16">
        <w:rPr>
          <w:bCs/>
        </w:rPr>
        <w:fldChar w:fldCharType="separate"/>
      </w:r>
      <w:r w:rsidRPr="00B070AB">
        <w:rPr>
          <w:bCs/>
          <w:noProof/>
        </w:rPr>
        <w:t>[28]</w:t>
      </w:r>
      <w:r w:rsidRPr="00860D16">
        <w:rPr>
          <w:bCs/>
        </w:rPr>
        <w:fldChar w:fldCharType="end"/>
      </w:r>
      <w:r>
        <w:rPr>
          <w:bCs/>
        </w:rPr>
        <w:t>.</w:t>
      </w:r>
      <w:r w:rsidRPr="00860D16">
        <w:rPr>
          <w:bCs/>
        </w:rPr>
        <w:t xml:space="preserve"> Using imputed data was important because we could not assume that cognition values were missing at random. The imputation was performed using a multivariate, regression-based procedure to replace refusals, missing values, and NA responses in the TICS-m data, but not the proxy respondent data.</w:t>
      </w:r>
    </w:p>
    <w:p w14:paraId="0C609B0C" w14:textId="77777777" w:rsidR="006B0605" w:rsidRDefault="006B0605" w:rsidP="006B0605">
      <w:pPr>
        <w:spacing w:line="480" w:lineRule="auto"/>
        <w:outlineLvl w:val="0"/>
        <w:rPr>
          <w:bCs/>
        </w:rPr>
      </w:pPr>
      <w:r w:rsidRPr="00860D16">
        <w:rPr>
          <w:bCs/>
          <w:i/>
          <w:iCs/>
        </w:rPr>
        <w:t>Defining year of cognitive impairment onset</w:t>
      </w:r>
      <w:r w:rsidRPr="00860D16">
        <w:rPr>
          <w:bCs/>
        </w:rPr>
        <w:t>: Onset of cognitive impairment was marked in the first survey wave that a participant had a TICS-m score of 11 or lower, or a proxy score of 3 or greater. We defined this as cognitive impairment onset even if a participant’s score reverted to 12 or greater in a subsequent survey year because of research showing that participants often experience slight improvement in cognitive screening scores when tests are administered on a 1-2 year time frame due to practice effects</w:t>
      </w:r>
      <w:r>
        <w:rPr>
          <w:bCs/>
        </w:rPr>
        <w:t xml:space="preserve"> </w:t>
      </w:r>
      <w:r w:rsidRPr="00860D16">
        <w:rPr>
          <w:bCs/>
        </w:rPr>
        <w:fldChar w:fldCharType="begin" w:fldLock="1"/>
      </w:r>
      <w:r>
        <w:rPr>
          <w:bCs/>
        </w:rPr>
        <w:instrText>ADDIN CSL_CITATION {"citationItems":[{"id":"ITEM-1","itemData":{"DOI":"10.1080/13854046.2015.1087596","ISSN":"1744-4144 (Electronic)","PMID":"26373627","abstract":"OBJECTIVE: The Montreal Cognitive Assessment (MoCA) is a brief screening measure  commonly used to determine cognitive status among older adults. Despite the popularity of the MoCA, there has been little research into how performance on the MoCA changes over time in healthy older adults. METHODS: The present study examined a sample of older adults (n = 53) recruited for a longitudinal study of healthy aging. Change in total MoCA score at three time points (baseline, 12 months, and 48 months) and scores from the Repeatable Battery for the Assessment of Neuropsychological Status at five time points (RBANS; baseline 12 months, 24 months, 36 months, and 48 months) were assessed using repeated measures analyses. RESULTS: Total MoCA score significantly increased across time, particularly between the first and second administrations. Scores did not significantly differ between the second (12 month) and third (48 month) administrations. When grouped by baseline performance, individuals who scored low at baseline significantly improved performance at 12-month testing, but had little change between 12- and 48-month testing. Conversely, individuals who scored high at baseline did not significantly change between baseline and 12-month testing, but improved between 12- and 48-month testing. RBANS scores did not significantly change over time. CONCLUSIONS: These results suggest that the MoCA may be susceptible to practice effects, particularly between the first and second administrations. These practice effects should be taken into consideration when repeatedly employing the MoCA to screen for cognitive status in healthy older adults.","author":[{"dropping-particle":"","family":"Cooley","given":"Sarah A","non-dropping-particle":"","parse-names":false,"suffix":""},{"dropping-particle":"","family":"Heaps","given":"Jodi M","non-dropping-particle":"","parse-names":false,"suffix":""},{"dropping-particle":"","family":"Bolzenius","given":"Jacob D","non-dropping-particle":"","parse-names":false,"suffix":""},{"dropping-particle":"","family":"Salminen","given":"Lauren E","non-dropping-particle":"","parse-names":false,"suffix":""},{"dropping-particle":"","family":"Baker","given":"Laurie M","non-dropping-particle":"","parse-names":false,"suffix":""},{"dropping-particle":"","family":"Scott","given":"Staci E","non-dropping-particle":"","parse-names":false,"suffix":""},{"dropping-particle":"","family":"Paul","given":"Robert H","non-dropping-particle":"","parse-names":false,"suffix":""}],"container-title":"The Clinical neuropsychologist","id":"ITEM-1","issue":"6","issued":{"date-parts":[["2015"]]},"language":"eng","page":"824-835","publisher-place":"England","title":"Longitudinal Change in Performance on the Montreal Cognitive Assessment in Older  Adults.","type":"article-journal","volume":"29"},"uris":["http://www.mendeley.com/documents/?uuid=125fc5c5-cabc-454c-a3fc-dfdaba7c6e21"]},{"id":"ITEM-2","itemData":{"DOI":"10.1136/jnnp.2006.109074","ISSN":"1468-330X (Electronic)","PMID":"17442763","abstract":"BACKGROUND: In clinical and research settings, the Mini-Mental State Examination  (MMSE) is commonly used to measure cognitive change over time. The interpretation of changes in MMSE is often difficult. They do not necessarily result from true clinical change. Their interpretation requires comparison with normative data for change. However, MMSE change norms are lacking for long intervals. OBJECTIVE: To examine what is a reliable change in MMSE for long follow-up periods commonly used in clinic. To provide normative data for change. METHODS: A sample of 119 cognitively normal individuals, aged 75 years and over, who participated in the Leipzig Longitudinal Study of the Aged (LEILA 75+). All participants were tested six times at 1.5 year intervals with the MMSE over a mean period of 7.1 years. Reliable change indices were computed for a common confidence interval (90%). RESULTS: In repeated assessments with 1.5 year intervals, a change in MMSE of at least 2-4 points indicated a reliable change at the 90% confidence level. CONCLUSION: Small changes in MMSE can be interpreted only with great uncertainty. They have a reasonable probability of being caused by measurement error, regression to the mean or practice.","author":[{"dropping-particle":"","family":"Hensel","given":"A","non-dropping-particle":"","parse-names":false,"suffix":""},{"dropping-particle":"","family":"Angermeyer","given":"M C","non-dropping-particle":"","parse-names":false,"suffix":""},{"dropping-particle":"","family":"Riedel-Heller","given":"S G","non-dropping-particle":"","parse-names":false,"suffix":""}],"container-title":"Journal of neurology, neurosurgery, and psychiatry","id":"ITEM-2","issue":"12","issued":{"date-parts":[["2007","12"]]},"language":"eng","page":"1298-1303","publisher-place":"England","title":"Measuring cognitive change in older adults: reliable change indices for the Mini-Mental State Examination.","type":"article-journal","volume":"78"},"uris":["http://www.mendeley.com/documents/?uuid=389684c8-ba4e-422a-8a3b-5889e5aeaa5e"]},{"id":"ITEM-3","itemData":{"ISSN":"0398-7620 (Print)","PMID":"9446142","abstract":"BACKGROUND: The aim of this study is to describe and compare the course of the score of two psychometric tests during a five-year period in a cohort of non-demented elderly subjects. We studied a timed test of simple logical reasoning (the Digit Symbol Substitution Test of Wechsler) and a test of short-term visual memory (the Benton Visual Retention Test). Then we compared the course of these two tests with the course of the Mini-Mental State Examination (MMSE) which evaluates the general cognitive functioning and which has been studied previously. METHODS: The sample consisted of 2792 subjects aged 65 years and older living at home at the beginning of the study (the Paquid cohort in Gironde). Subjects were interviewed at home by a psychologist at the baseline visit and one year, 3 years and 5 years after the baseline visit. All subjects who were diagnosed as demented at any of the four examinations were excluded from this study (218 subjects). The statistical analysis was performed using a mixed effects linear model and an additional analysis was performed to study sensitivity of the results to hypotheses regarding missing data mechanism. RESULTS: Among the three tests studied, only the score of the Digit Symbol Substitution Test declined over the five years (by -1.15 points for subjects aged 65 years to -3.4 points for subjects aged 85 years). We observed an improvement of the score between the first two visits which is sharper for the test of Benton and the MMSE than for the Digit Symbol Substitution Test and which reflects a stress effect at the baseline visit or a learning effect at the second visit. The difference between the cross-sectional measure of age effect and the longitudinal measure of time effect suggests either a cohort effect or a practice effect which would persist during the five years. CONCLUSIONS: The cognitive change in a non-demented elderly population is different according to the psychometric test used. Among the three tests studied, only the score of the Digit Symbol Substitution Test which has a a speed component declined over the five years.","author":[{"dropping-particle":"","family":"Jacqmin-Gadda","given":"H","non-dropping-particle":"","parse-names":false,"suffix":""},{"dropping-particle":"","family":"Fabrigoule","given":"C","non-dropping-particle":"","parse-names":false,"suffix":""},{"dropping-particle":"","family":"Commenges","given":"D","non-dropping-particle":"","parse-names":false,"suffix":""},{"dropping-particle":"","family":"Dartigues","given":"J F","non-dropping-particle":"","parse-names":false,"suffix":""}],"container-title":"Revue d'epidemiologie et de sante publique","id":"ITEM-3","issue":"5","issued":{"date-parts":[["1997","10"]]},"language":"fre","page":"363-372","publisher-place":"France","title":"[Longitudinal study of cognitive aging in non-demented elderly subjects].","type":"article-journal","volume":"45"},"uris":["http://www.mendeley.com/documents/?uuid=9714ae2d-3b37-4ad5-be5f-4f61476ad282"]}],"mendeley":{"formattedCitation":"[36–38]","manualFormatting":"(2–4)","plainTextFormattedCitation":"[36–38]","previouslyFormattedCitation":"(36–38)"},"properties":{"noteIndex":0},"schema":"https://github.com/citation-style-language/schema/raw/master/csl-citation.json"}</w:instrText>
      </w:r>
      <w:r w:rsidRPr="00860D16">
        <w:rPr>
          <w:bCs/>
        </w:rPr>
        <w:fldChar w:fldCharType="separate"/>
      </w:r>
      <w:r w:rsidRPr="00147F92">
        <w:rPr>
          <w:bCs/>
          <w:noProof/>
        </w:rPr>
        <w:t>(</w:t>
      </w:r>
      <w:r>
        <w:rPr>
          <w:bCs/>
          <w:noProof/>
        </w:rPr>
        <w:t>2</w:t>
      </w:r>
      <w:r w:rsidRPr="00147F92">
        <w:rPr>
          <w:bCs/>
          <w:noProof/>
        </w:rPr>
        <w:t>–</w:t>
      </w:r>
      <w:r>
        <w:rPr>
          <w:bCs/>
          <w:noProof/>
        </w:rPr>
        <w:t>4</w:t>
      </w:r>
      <w:r w:rsidRPr="00147F92">
        <w:rPr>
          <w:bCs/>
          <w:noProof/>
        </w:rPr>
        <w:t>)</w:t>
      </w:r>
      <w:r w:rsidRPr="00860D16">
        <w:rPr>
          <w:bCs/>
        </w:rPr>
        <w:fldChar w:fldCharType="end"/>
      </w:r>
      <w:r>
        <w:rPr>
          <w:bCs/>
        </w:rPr>
        <w:t>.</w:t>
      </w:r>
      <w:r w:rsidRPr="00860D16">
        <w:rPr>
          <w:bCs/>
        </w:rPr>
        <w:t xml:space="preserve"> Additionally, a drop in cognition is clinically meaningful even if some cognitive capability is regained in the future. </w:t>
      </w:r>
    </w:p>
    <w:p w14:paraId="7128C577" w14:textId="77777777" w:rsidR="006B0605" w:rsidRPr="00860D16" w:rsidRDefault="006B0605" w:rsidP="006B0605">
      <w:pPr>
        <w:spacing w:line="480" w:lineRule="auto"/>
        <w:outlineLvl w:val="0"/>
        <w:rPr>
          <w:bCs/>
        </w:rPr>
      </w:pPr>
    </w:p>
    <w:p w14:paraId="442C6994" w14:textId="77777777" w:rsidR="006B0605" w:rsidRPr="00860D16" w:rsidRDefault="006B0605" w:rsidP="006B0605">
      <w:pPr>
        <w:spacing w:line="480" w:lineRule="auto"/>
        <w:outlineLvl w:val="0"/>
        <w:rPr>
          <w:bCs/>
        </w:rPr>
      </w:pPr>
      <w:r w:rsidRPr="00860D16">
        <w:rPr>
          <w:b/>
          <w:bCs/>
          <w:color w:val="000000"/>
          <w:shd w:val="clear" w:color="auto" w:fill="FFFFFF"/>
        </w:rPr>
        <w:lastRenderedPageBreak/>
        <w:t>Supplementary Tables</w:t>
      </w:r>
    </w:p>
    <w:p w14:paraId="76DB3CA3" w14:textId="77777777" w:rsidR="006B0605" w:rsidRPr="00860D16" w:rsidRDefault="006B0605" w:rsidP="006B0605">
      <w:pPr>
        <w:spacing w:line="480" w:lineRule="auto"/>
        <w:rPr>
          <w:b/>
          <w:bCs/>
          <w:color w:val="000000"/>
          <w:shd w:val="clear" w:color="auto" w:fill="FFFFFF"/>
        </w:rPr>
      </w:pPr>
      <w:r w:rsidRPr="00860D16">
        <w:rPr>
          <w:b/>
          <w:bCs/>
          <w:noProof/>
          <w:color w:val="000000"/>
          <w:shd w:val="clear" w:color="auto" w:fill="FFFFFF"/>
        </w:rPr>
        <w:drawing>
          <wp:inline distT="0" distB="0" distL="0" distR="0" wp14:anchorId="41100F63" wp14:editId="202B1924">
            <wp:extent cx="5790820" cy="5683169"/>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824385" cy="5716110"/>
                    </a:xfrm>
                    <a:prstGeom prst="rect">
                      <a:avLst/>
                    </a:prstGeom>
                  </pic:spPr>
                </pic:pic>
              </a:graphicData>
            </a:graphic>
          </wp:inline>
        </w:drawing>
      </w:r>
    </w:p>
    <w:p w14:paraId="53B22C4E" w14:textId="77777777" w:rsidR="006B0605" w:rsidRPr="00860D16" w:rsidRDefault="006B0605" w:rsidP="006B0605">
      <w:pPr>
        <w:spacing w:line="480" w:lineRule="auto"/>
        <w:rPr>
          <w:b/>
          <w:bCs/>
          <w:color w:val="000000"/>
          <w:shd w:val="clear" w:color="auto" w:fill="FFFFFF"/>
        </w:rPr>
      </w:pPr>
      <w:r w:rsidRPr="00860D16">
        <w:rPr>
          <w:b/>
          <w:bCs/>
          <w:noProof/>
          <w:color w:val="000000"/>
          <w:shd w:val="clear" w:color="auto" w:fill="FFFFFF"/>
        </w:rPr>
        <w:drawing>
          <wp:inline distT="0" distB="0" distL="0" distR="0" wp14:anchorId="30703B31" wp14:editId="5C9B9AB8">
            <wp:extent cx="3423214" cy="195612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455894" cy="1974797"/>
                    </a:xfrm>
                    <a:prstGeom prst="rect">
                      <a:avLst/>
                    </a:prstGeom>
                  </pic:spPr>
                </pic:pic>
              </a:graphicData>
            </a:graphic>
          </wp:inline>
        </w:drawing>
      </w:r>
    </w:p>
    <w:p w14:paraId="755A862C" w14:textId="77777777" w:rsidR="006B0605" w:rsidRPr="00860D16" w:rsidRDefault="006B0605" w:rsidP="006B0605">
      <w:pPr>
        <w:spacing w:line="480" w:lineRule="auto"/>
        <w:rPr>
          <w:b/>
          <w:bCs/>
          <w:color w:val="000000"/>
          <w:shd w:val="clear" w:color="auto" w:fill="FFFFFF"/>
        </w:rPr>
      </w:pPr>
      <w:r w:rsidRPr="00860D16">
        <w:rPr>
          <w:b/>
          <w:bCs/>
          <w:color w:val="000000"/>
          <w:shd w:val="clear" w:color="auto" w:fill="FFFFFF"/>
        </w:rPr>
        <w:lastRenderedPageBreak/>
        <w:t>Supplementary Figures</w:t>
      </w:r>
    </w:p>
    <w:p w14:paraId="2CDA3E05" w14:textId="77777777" w:rsidR="006B0605" w:rsidRPr="00860D16" w:rsidRDefault="006B0605" w:rsidP="006B0605">
      <w:pPr>
        <w:spacing w:line="480" w:lineRule="auto"/>
        <w:contextualSpacing/>
        <w:outlineLvl w:val="0"/>
        <w:rPr>
          <w:rFonts w:eastAsiaTheme="minorEastAsia"/>
        </w:rPr>
      </w:pPr>
      <w:r w:rsidRPr="00860D16">
        <w:rPr>
          <w:b/>
          <w:bCs/>
        </w:rPr>
        <w:t xml:space="preserve">Supplementary Figure S1. </w:t>
      </w:r>
      <w:r w:rsidRPr="00860D16">
        <w:rPr>
          <w:rFonts w:eastAsiaTheme="minorEastAsia"/>
          <w:b/>
          <w:bCs/>
        </w:rPr>
        <w:t>Flowchart of Participant Selection</w:t>
      </w:r>
      <w:r w:rsidRPr="00860D16">
        <w:rPr>
          <w:rFonts w:eastAsiaTheme="minorEastAsia"/>
          <w:b/>
        </w:rPr>
        <w:t>.</w:t>
      </w:r>
      <w:r w:rsidRPr="00860D16">
        <w:rPr>
          <w:rFonts w:eastAsiaTheme="minorEastAsia"/>
        </w:rPr>
        <w:t xml:space="preserve"> </w:t>
      </w:r>
    </w:p>
    <w:p w14:paraId="4B8A1F5B" w14:textId="77777777" w:rsidR="006B0605" w:rsidRPr="00860D16" w:rsidRDefault="006B0605" w:rsidP="006B0605">
      <w:pPr>
        <w:spacing w:line="480" w:lineRule="auto"/>
        <w:contextualSpacing/>
        <w:outlineLvl w:val="0"/>
        <w:rPr>
          <w:rFonts w:eastAsiaTheme="minorEastAsia"/>
        </w:rPr>
      </w:pPr>
      <w:r w:rsidRPr="00860D16">
        <w:rPr>
          <w:b/>
          <w:bCs/>
          <w:noProof/>
          <w:color w:val="000000"/>
          <w:shd w:val="clear" w:color="auto" w:fill="FFFFFF"/>
        </w:rPr>
        <w:drawing>
          <wp:inline distT="0" distB="0" distL="0" distR="0" wp14:anchorId="588B6F77" wp14:editId="78401446">
            <wp:extent cx="4560425" cy="6395748"/>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574721" cy="6415797"/>
                    </a:xfrm>
                    <a:prstGeom prst="rect">
                      <a:avLst/>
                    </a:prstGeom>
                  </pic:spPr>
                </pic:pic>
              </a:graphicData>
            </a:graphic>
          </wp:inline>
        </w:drawing>
      </w:r>
    </w:p>
    <w:p w14:paraId="0CE1C239" w14:textId="77777777" w:rsidR="006B0605" w:rsidRPr="00860D16" w:rsidRDefault="006B0605" w:rsidP="006B0605">
      <w:pPr>
        <w:spacing w:after="160" w:line="259" w:lineRule="auto"/>
        <w:rPr>
          <w:b/>
          <w:bCs/>
        </w:rPr>
      </w:pPr>
      <w:r w:rsidRPr="00860D16">
        <w:rPr>
          <w:b/>
          <w:bCs/>
        </w:rPr>
        <w:br w:type="page"/>
      </w:r>
    </w:p>
    <w:p w14:paraId="4BE4C838" w14:textId="77777777" w:rsidR="006B0605" w:rsidRPr="00860D16" w:rsidRDefault="006B0605" w:rsidP="006B0605">
      <w:pPr>
        <w:spacing w:line="480" w:lineRule="auto"/>
        <w:contextualSpacing/>
        <w:outlineLvl w:val="0"/>
      </w:pPr>
      <w:r w:rsidRPr="00860D16">
        <w:rPr>
          <w:b/>
          <w:bCs/>
        </w:rPr>
        <w:lastRenderedPageBreak/>
        <w:t xml:space="preserve">Supplementary Figure S2: Trend in Mean Modified Telephone Interview for Cognitive Status Score Over Time. </w:t>
      </w:r>
      <w:r w:rsidRPr="00860D16">
        <w:t>Shown are the mean TICS-m scores in the CVD group (dashed line) vs. control group (solid line) over the 8-year study period.</w:t>
      </w:r>
    </w:p>
    <w:p w14:paraId="22E1D913" w14:textId="77777777" w:rsidR="006B0605" w:rsidRPr="00860D16" w:rsidRDefault="006B0605" w:rsidP="006B0605">
      <w:pPr>
        <w:spacing w:line="480" w:lineRule="auto"/>
        <w:contextualSpacing/>
        <w:outlineLvl w:val="0"/>
      </w:pPr>
    </w:p>
    <w:p w14:paraId="4D516161" w14:textId="77777777" w:rsidR="006B0605" w:rsidRPr="00860D16" w:rsidRDefault="006B0605" w:rsidP="006B0605">
      <w:pPr>
        <w:spacing w:line="480" w:lineRule="auto"/>
        <w:contextualSpacing/>
        <w:outlineLvl w:val="0"/>
      </w:pPr>
      <w:r w:rsidRPr="00860D16">
        <w:rPr>
          <w:b/>
          <w:bCs/>
          <w:noProof/>
          <w:color w:val="000000"/>
          <w:shd w:val="clear" w:color="auto" w:fill="FFFFFF"/>
        </w:rPr>
        <w:drawing>
          <wp:inline distT="0" distB="0" distL="0" distR="0" wp14:anchorId="4D56BEC9" wp14:editId="13E1FA84">
            <wp:extent cx="5943600" cy="321691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3216910"/>
                    </a:xfrm>
                    <a:prstGeom prst="rect">
                      <a:avLst/>
                    </a:prstGeom>
                  </pic:spPr>
                </pic:pic>
              </a:graphicData>
            </a:graphic>
          </wp:inline>
        </w:drawing>
      </w:r>
    </w:p>
    <w:p w14:paraId="461197E9" w14:textId="77777777" w:rsidR="006B0605" w:rsidRPr="00860D16" w:rsidRDefault="006B0605" w:rsidP="006B0605">
      <w:pPr>
        <w:spacing w:after="160" w:line="259" w:lineRule="auto"/>
      </w:pPr>
      <w:r w:rsidRPr="00860D16">
        <w:br w:type="page"/>
      </w:r>
    </w:p>
    <w:p w14:paraId="2BFD9F09" w14:textId="77777777" w:rsidR="006B0605" w:rsidRPr="00860D16" w:rsidRDefault="006B0605" w:rsidP="006B0605">
      <w:pPr>
        <w:spacing w:line="480" w:lineRule="auto"/>
        <w:contextualSpacing/>
        <w:outlineLvl w:val="0"/>
      </w:pPr>
      <w:r w:rsidRPr="00860D16">
        <w:rPr>
          <w:b/>
          <w:bCs/>
        </w:rPr>
        <w:lastRenderedPageBreak/>
        <w:t xml:space="preserve">Supplementary Figure S3: Distribution of Modified Telephone Interview for Cognitive Status Scores for CVD and Control Groups. </w:t>
      </w:r>
      <w:r w:rsidRPr="00860D16">
        <w:t xml:space="preserve">Shown are histograms of TICS-m scores in the CVD group (light blue) vs. control group (dark blue) at baseline and at 2, 4, 6, and 8 years. </w:t>
      </w:r>
    </w:p>
    <w:p w14:paraId="3BCAEA7F" w14:textId="77777777" w:rsidR="006B0605" w:rsidRPr="00860D16" w:rsidRDefault="006B0605" w:rsidP="006B0605">
      <w:pPr>
        <w:spacing w:line="480" w:lineRule="auto"/>
        <w:contextualSpacing/>
        <w:outlineLvl w:val="0"/>
      </w:pPr>
    </w:p>
    <w:p w14:paraId="7292D5E3" w14:textId="77777777" w:rsidR="006B0605" w:rsidRPr="00860D16" w:rsidRDefault="006B0605" w:rsidP="006B0605">
      <w:pPr>
        <w:spacing w:line="480" w:lineRule="auto"/>
        <w:contextualSpacing/>
        <w:outlineLvl w:val="0"/>
        <w:rPr>
          <w:b/>
          <w:bCs/>
        </w:rPr>
      </w:pPr>
      <w:r w:rsidRPr="00860D16">
        <w:rPr>
          <w:b/>
          <w:bCs/>
          <w:noProof/>
          <w:color w:val="000000"/>
          <w:shd w:val="clear" w:color="auto" w:fill="FFFFFF"/>
        </w:rPr>
        <w:drawing>
          <wp:inline distT="0" distB="0" distL="0" distR="0" wp14:anchorId="5F545718" wp14:editId="419E15F3">
            <wp:extent cx="5943600" cy="32956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3295650"/>
                    </a:xfrm>
                    <a:prstGeom prst="rect">
                      <a:avLst/>
                    </a:prstGeom>
                  </pic:spPr>
                </pic:pic>
              </a:graphicData>
            </a:graphic>
          </wp:inline>
        </w:drawing>
      </w:r>
    </w:p>
    <w:p w14:paraId="062457CF" w14:textId="77777777" w:rsidR="006B0605" w:rsidRPr="00860D16" w:rsidRDefault="006B0605" w:rsidP="006B0605">
      <w:pPr>
        <w:spacing w:after="160" w:line="259" w:lineRule="auto"/>
        <w:rPr>
          <w:b/>
          <w:bCs/>
        </w:rPr>
      </w:pPr>
      <w:r w:rsidRPr="00860D16">
        <w:rPr>
          <w:b/>
          <w:bCs/>
        </w:rPr>
        <w:br w:type="page"/>
      </w:r>
    </w:p>
    <w:p w14:paraId="3B495ADE" w14:textId="77777777" w:rsidR="006B0605" w:rsidRDefault="006B0605" w:rsidP="006B0605">
      <w:pPr>
        <w:spacing w:line="480" w:lineRule="auto"/>
        <w:contextualSpacing/>
        <w:outlineLvl w:val="0"/>
      </w:pPr>
      <w:r w:rsidRPr="00860D16">
        <w:rPr>
          <w:b/>
          <w:bCs/>
        </w:rPr>
        <w:lastRenderedPageBreak/>
        <w:t>Supplementary Figure S4: Cumulative Incidence of CI in CVD Group Including Self-</w:t>
      </w:r>
      <w:proofErr w:type="gramStart"/>
      <w:r w:rsidRPr="00860D16">
        <w:rPr>
          <w:b/>
          <w:bCs/>
        </w:rPr>
        <w:t>report</w:t>
      </w:r>
      <w:proofErr w:type="gramEnd"/>
      <w:r w:rsidRPr="00860D16">
        <w:rPr>
          <w:b/>
          <w:bCs/>
        </w:rPr>
        <w:t xml:space="preserve"> Discrepancies vs. Control Group. </w:t>
      </w:r>
      <w:r w:rsidRPr="00860D16">
        <w:rPr>
          <w:iCs/>
        </w:rPr>
        <w:t xml:space="preserve">Because the participants excluded due to self-report discrepancies were more likely to develop cognitive impairment, we performed a sensitivity analysis where we </w:t>
      </w:r>
      <w:r w:rsidRPr="00860D16">
        <w:t>included these initially excluded participants in the CVD group and</w:t>
      </w:r>
      <w:r w:rsidRPr="00860D16">
        <w:rPr>
          <w:iCs/>
        </w:rPr>
        <w:t xml:space="preserve"> re-examined the </w:t>
      </w:r>
      <w:r w:rsidRPr="00860D16">
        <w:t>cumulative incidence of cognitive impairment in the CVD and control groups accounting for the competing risk of death. Shown are the likelihood of death (orange) and the likelihood of cognitive impairment (blue) in the CVD group (dashed line) vs. control group (solid line) over the 8-year study period. Participants with CVD were more likely to experience death at follow-up than controls. There was no significant difference in the incidence of cognitive impairment between participants with CVD vs. controls.</w:t>
      </w:r>
    </w:p>
    <w:p w14:paraId="082FD91C" w14:textId="77777777" w:rsidR="006B0605" w:rsidRDefault="006B0605" w:rsidP="006B0605">
      <w:pPr>
        <w:spacing w:line="480" w:lineRule="auto"/>
        <w:contextualSpacing/>
        <w:outlineLvl w:val="0"/>
      </w:pPr>
    </w:p>
    <w:p w14:paraId="2EA8AE36" w14:textId="77777777" w:rsidR="006B0605" w:rsidRPr="00860D16" w:rsidRDefault="006B0605" w:rsidP="006B0605">
      <w:pPr>
        <w:spacing w:line="480" w:lineRule="auto"/>
        <w:contextualSpacing/>
        <w:outlineLvl w:val="0"/>
      </w:pPr>
      <w:r w:rsidRPr="00860D16">
        <w:rPr>
          <w:b/>
          <w:noProof/>
        </w:rPr>
        <w:drawing>
          <wp:inline distT="0" distB="0" distL="0" distR="0" wp14:anchorId="68BCEA22" wp14:editId="326F18E8">
            <wp:extent cx="5943600" cy="28524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2852420"/>
                    </a:xfrm>
                    <a:prstGeom prst="rect">
                      <a:avLst/>
                    </a:prstGeom>
                  </pic:spPr>
                </pic:pic>
              </a:graphicData>
            </a:graphic>
          </wp:inline>
        </w:drawing>
      </w:r>
    </w:p>
    <w:p w14:paraId="18301973" w14:textId="77777777" w:rsidR="006B0605" w:rsidRPr="00860D16" w:rsidRDefault="006B0605" w:rsidP="006B0605">
      <w:pPr>
        <w:spacing w:line="480" w:lineRule="auto"/>
        <w:contextualSpacing/>
        <w:outlineLvl w:val="0"/>
      </w:pPr>
    </w:p>
    <w:p w14:paraId="084CFD5D" w14:textId="77777777" w:rsidR="006B0605" w:rsidRDefault="006B0605" w:rsidP="006B0605"/>
    <w:p w14:paraId="0CA08F30" w14:textId="77777777" w:rsidR="006B0605" w:rsidRDefault="006B0605" w:rsidP="006B0605"/>
    <w:p w14:paraId="06A1D2F9" w14:textId="77777777" w:rsidR="006B0605" w:rsidRDefault="006B0605" w:rsidP="006B0605"/>
    <w:p w14:paraId="09274638" w14:textId="77777777" w:rsidR="006B0605" w:rsidRDefault="006B0605" w:rsidP="006B0605"/>
    <w:p w14:paraId="42BD88D1" w14:textId="77777777" w:rsidR="006B0605" w:rsidRDefault="006B0605" w:rsidP="006B0605"/>
    <w:p w14:paraId="7C3695C9" w14:textId="77777777" w:rsidR="006B0605" w:rsidRDefault="006B0605" w:rsidP="006B0605">
      <w:r>
        <w:lastRenderedPageBreak/>
        <w:t>References</w:t>
      </w:r>
    </w:p>
    <w:p w14:paraId="551D3462" w14:textId="77777777" w:rsidR="006B0605" w:rsidRDefault="006B0605" w:rsidP="006B0605"/>
    <w:p w14:paraId="5C6F70E3" w14:textId="77777777" w:rsidR="006B0605" w:rsidRDefault="006B0605" w:rsidP="006B0605">
      <w:pPr>
        <w:widowControl w:val="0"/>
        <w:autoSpaceDE w:val="0"/>
        <w:autoSpaceDN w:val="0"/>
        <w:adjustRightInd w:val="0"/>
        <w:spacing w:line="480" w:lineRule="auto"/>
        <w:ind w:left="640" w:hanging="640"/>
        <w:rPr>
          <w:noProof/>
        </w:rPr>
      </w:pPr>
      <w:r>
        <w:t>1.</w:t>
      </w:r>
      <w:r w:rsidRPr="00147F92">
        <w:rPr>
          <w:noProof/>
        </w:rPr>
        <w:tab/>
        <w:t xml:space="preserve">Fisher GG, Hassan H, Faul JD, et al. Health and Retirement Study Imputation of Cognitive Functioning Measures: 1992 – 2014. </w:t>
      </w:r>
      <w:r w:rsidRPr="00D574AF">
        <w:rPr>
          <w:i/>
          <w:iCs/>
          <w:noProof/>
        </w:rPr>
        <w:t>Survey Res</w:t>
      </w:r>
      <w:r>
        <w:rPr>
          <w:i/>
          <w:iCs/>
          <w:noProof/>
        </w:rPr>
        <w:t>.</w:t>
      </w:r>
      <w:r w:rsidRPr="00D574AF">
        <w:rPr>
          <w:i/>
          <w:iCs/>
          <w:noProof/>
        </w:rPr>
        <w:t xml:space="preserve"> Center, Univ</w:t>
      </w:r>
      <w:r>
        <w:rPr>
          <w:i/>
          <w:iCs/>
          <w:noProof/>
        </w:rPr>
        <w:t>.</w:t>
      </w:r>
      <w:r w:rsidRPr="00D574AF">
        <w:rPr>
          <w:i/>
          <w:iCs/>
          <w:noProof/>
        </w:rPr>
        <w:t xml:space="preserve"> of Mich.</w:t>
      </w:r>
      <w:r>
        <w:rPr>
          <w:noProof/>
        </w:rPr>
        <w:t xml:space="preserve"> </w:t>
      </w:r>
      <w:r w:rsidRPr="00147F92">
        <w:rPr>
          <w:noProof/>
        </w:rPr>
        <w:t>2017</w:t>
      </w:r>
      <w:r>
        <w:rPr>
          <w:noProof/>
        </w:rPr>
        <w:t>.</w:t>
      </w:r>
    </w:p>
    <w:p w14:paraId="3A4A93C6" w14:textId="77777777" w:rsidR="006B0605" w:rsidRPr="00147F92" w:rsidRDefault="006B0605" w:rsidP="006B0605">
      <w:pPr>
        <w:widowControl w:val="0"/>
        <w:autoSpaceDE w:val="0"/>
        <w:autoSpaceDN w:val="0"/>
        <w:adjustRightInd w:val="0"/>
        <w:spacing w:line="480" w:lineRule="auto"/>
        <w:ind w:left="640" w:hanging="640"/>
        <w:rPr>
          <w:noProof/>
        </w:rPr>
      </w:pPr>
      <w:r>
        <w:rPr>
          <w:noProof/>
        </w:rPr>
        <w:t xml:space="preserve">2. </w:t>
      </w:r>
      <w:r>
        <w:rPr>
          <w:noProof/>
        </w:rPr>
        <w:tab/>
      </w:r>
      <w:r w:rsidRPr="00147F92">
        <w:rPr>
          <w:noProof/>
        </w:rPr>
        <w:t xml:space="preserve">Cooley SA, Heaps JM, Bolzenius JD, et al. Longitudinal Change in Performance on the Montreal Cognitive Assessment in Older  Adults. </w:t>
      </w:r>
      <w:r w:rsidRPr="00147F92">
        <w:rPr>
          <w:i/>
          <w:iCs/>
          <w:noProof/>
        </w:rPr>
        <w:t>Clin. Neuropsychol.</w:t>
      </w:r>
      <w:r w:rsidRPr="00147F92">
        <w:rPr>
          <w:noProof/>
        </w:rPr>
        <w:t xml:space="preserve"> 2015;29(6):824–835. </w:t>
      </w:r>
    </w:p>
    <w:p w14:paraId="5A13EE91" w14:textId="77777777" w:rsidR="006B0605" w:rsidRPr="00147F92" w:rsidRDefault="006B0605" w:rsidP="006B0605">
      <w:pPr>
        <w:widowControl w:val="0"/>
        <w:autoSpaceDE w:val="0"/>
        <w:autoSpaceDN w:val="0"/>
        <w:adjustRightInd w:val="0"/>
        <w:spacing w:line="480" w:lineRule="auto"/>
        <w:ind w:left="640" w:hanging="640"/>
        <w:rPr>
          <w:noProof/>
        </w:rPr>
      </w:pPr>
      <w:r>
        <w:rPr>
          <w:noProof/>
        </w:rPr>
        <w:t>3</w:t>
      </w:r>
      <w:r w:rsidRPr="00147F92">
        <w:rPr>
          <w:noProof/>
        </w:rPr>
        <w:t xml:space="preserve">. </w:t>
      </w:r>
      <w:r w:rsidRPr="00147F92">
        <w:rPr>
          <w:noProof/>
        </w:rPr>
        <w:tab/>
        <w:t xml:space="preserve">Hensel A, Angermeyer MC, Riedel-Heller SG. Measuring cognitive change in older adults: reliable change indices for the Mini-Mental State Examination. </w:t>
      </w:r>
      <w:r w:rsidRPr="00147F92">
        <w:rPr>
          <w:i/>
          <w:iCs/>
          <w:noProof/>
        </w:rPr>
        <w:t>J. Neurol. Neurosurg. Psychiatry</w:t>
      </w:r>
      <w:r w:rsidRPr="00147F92">
        <w:rPr>
          <w:noProof/>
        </w:rPr>
        <w:t xml:space="preserve">. 2007;78(12):1298–1303. </w:t>
      </w:r>
    </w:p>
    <w:p w14:paraId="49B41022" w14:textId="77777777" w:rsidR="006B0605" w:rsidRPr="00147F92" w:rsidRDefault="006B0605" w:rsidP="006B0605">
      <w:pPr>
        <w:widowControl w:val="0"/>
        <w:autoSpaceDE w:val="0"/>
        <w:autoSpaceDN w:val="0"/>
        <w:adjustRightInd w:val="0"/>
        <w:spacing w:line="480" w:lineRule="auto"/>
        <w:ind w:left="640" w:hanging="640"/>
        <w:rPr>
          <w:noProof/>
        </w:rPr>
      </w:pPr>
      <w:r>
        <w:rPr>
          <w:noProof/>
        </w:rPr>
        <w:t>4</w:t>
      </w:r>
      <w:r w:rsidRPr="00147F92">
        <w:rPr>
          <w:noProof/>
        </w:rPr>
        <w:t xml:space="preserve">. </w:t>
      </w:r>
      <w:r w:rsidRPr="00147F92">
        <w:rPr>
          <w:noProof/>
        </w:rPr>
        <w:tab/>
        <w:t xml:space="preserve">Jacqmin-Gadda H, Fabrigoule C, Commenges D, et al. Longitudinal study of cognitive aging in non-demented elderly subjects. </w:t>
      </w:r>
      <w:r w:rsidRPr="00147F92">
        <w:rPr>
          <w:i/>
          <w:iCs/>
          <w:noProof/>
        </w:rPr>
        <w:t>Rev. Epidemiol. Sante Publique</w:t>
      </w:r>
      <w:r w:rsidRPr="00147F92">
        <w:rPr>
          <w:noProof/>
        </w:rPr>
        <w:t xml:space="preserve">. 1997;45(5):363–372. </w:t>
      </w:r>
    </w:p>
    <w:p w14:paraId="1BDBD1EE" w14:textId="77777777" w:rsidR="006B0605" w:rsidRDefault="006B0605" w:rsidP="006B0605"/>
    <w:p w14:paraId="5B114850" w14:textId="77777777" w:rsidR="006B0605" w:rsidRPr="00D574AF" w:rsidRDefault="006B0605" w:rsidP="006B0605">
      <w:pPr>
        <w:spacing w:after="160" w:line="259" w:lineRule="auto"/>
        <w:rPr>
          <w:color w:val="000000"/>
          <w:shd w:val="clear" w:color="auto" w:fill="FFFFFF"/>
        </w:rPr>
      </w:pPr>
    </w:p>
    <w:p w14:paraId="0E9A0DAB" w14:textId="77777777" w:rsidR="005B5B4D" w:rsidRDefault="00DE32E2"/>
    <w:sectPr w:rsidR="005B5B4D" w:rsidSect="00C8693F">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0605"/>
    <w:rsid w:val="00057DD4"/>
    <w:rsid w:val="00074861"/>
    <w:rsid w:val="000905D9"/>
    <w:rsid w:val="00096B3D"/>
    <w:rsid w:val="000A3246"/>
    <w:rsid w:val="001465F8"/>
    <w:rsid w:val="0019038A"/>
    <w:rsid w:val="001B2B74"/>
    <w:rsid w:val="001C41B6"/>
    <w:rsid w:val="001D778D"/>
    <w:rsid w:val="002275B4"/>
    <w:rsid w:val="002618E6"/>
    <w:rsid w:val="0028221A"/>
    <w:rsid w:val="002823B9"/>
    <w:rsid w:val="002A52DA"/>
    <w:rsid w:val="00376DF6"/>
    <w:rsid w:val="003841C7"/>
    <w:rsid w:val="003976A7"/>
    <w:rsid w:val="003C6132"/>
    <w:rsid w:val="00413DE5"/>
    <w:rsid w:val="004C4826"/>
    <w:rsid w:val="004C54EE"/>
    <w:rsid w:val="0059133C"/>
    <w:rsid w:val="005A74A0"/>
    <w:rsid w:val="005E147E"/>
    <w:rsid w:val="006400ED"/>
    <w:rsid w:val="006805BD"/>
    <w:rsid w:val="006A4CCF"/>
    <w:rsid w:val="006B0605"/>
    <w:rsid w:val="00744A25"/>
    <w:rsid w:val="00751C1F"/>
    <w:rsid w:val="00794FDF"/>
    <w:rsid w:val="007C18C0"/>
    <w:rsid w:val="007E5119"/>
    <w:rsid w:val="00830DDD"/>
    <w:rsid w:val="009A79B4"/>
    <w:rsid w:val="009C464A"/>
    <w:rsid w:val="009E3C8C"/>
    <w:rsid w:val="009E6A2E"/>
    <w:rsid w:val="00A32CEA"/>
    <w:rsid w:val="00A63188"/>
    <w:rsid w:val="00A63CBE"/>
    <w:rsid w:val="00AC264E"/>
    <w:rsid w:val="00B0789D"/>
    <w:rsid w:val="00B17A83"/>
    <w:rsid w:val="00B2620E"/>
    <w:rsid w:val="00BB7CBC"/>
    <w:rsid w:val="00BF70EF"/>
    <w:rsid w:val="00C2664F"/>
    <w:rsid w:val="00C30FE4"/>
    <w:rsid w:val="00CA0317"/>
    <w:rsid w:val="00CA59DF"/>
    <w:rsid w:val="00CC5541"/>
    <w:rsid w:val="00D038E4"/>
    <w:rsid w:val="00D81657"/>
    <w:rsid w:val="00D97E32"/>
    <w:rsid w:val="00DE32E2"/>
    <w:rsid w:val="00E252EB"/>
    <w:rsid w:val="00E34EB8"/>
    <w:rsid w:val="00E86889"/>
    <w:rsid w:val="00F72772"/>
    <w:rsid w:val="00F91DCA"/>
    <w:rsid w:val="00FD70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136757E"/>
  <w15:chartTrackingRefBased/>
  <w15:docId w15:val="{BA27843B-E119-1345-85C4-FF776F674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0605"/>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3239</Words>
  <Characters>18468</Characters>
  <Application>Microsoft Office Word</Application>
  <DocSecurity>0</DocSecurity>
  <Lines>153</Lines>
  <Paragraphs>43</Paragraphs>
  <ScaleCrop>false</ScaleCrop>
  <Company/>
  <LinksUpToDate>false</LinksUpToDate>
  <CharactersWithSpaces>21664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2020-12-13T20:38:00Z</dcterms:created>
  <dcterms:modified xsi:type="dcterms:W3CDTF">2020-12-13T20:38:00Z</dcterms:modified>
</cp:coreProperties>
</file>