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D4B" w:rsidRDefault="00E84D4B" w:rsidP="00E84D4B">
      <w:pPr>
        <w:rPr>
          <w:rFonts w:ascii="Arial" w:eastAsia="Times New Roman" w:hAnsi="Arial" w:cs="Arial"/>
          <w:b/>
          <w:bCs/>
          <w:sz w:val="24"/>
          <w:szCs w:val="24"/>
        </w:rPr>
      </w:pPr>
      <w:r>
        <w:rPr>
          <w:rFonts w:ascii="Arial" w:eastAsia="Times New Roman" w:hAnsi="Arial" w:cs="Arial"/>
          <w:b/>
          <w:bCs/>
          <w:sz w:val="24"/>
          <w:szCs w:val="24"/>
        </w:rPr>
        <w:t>Supplementary Information / Online-Only Methods</w:t>
      </w:r>
    </w:p>
    <w:p w:rsidR="00E84D4B" w:rsidRDefault="00E84D4B" w:rsidP="00E84D4B">
      <w:pPr>
        <w:rPr>
          <w:rFonts w:ascii="Arial" w:eastAsia="Times New Roman" w:hAnsi="Arial" w:cs="Arial"/>
          <w:b/>
          <w:bCs/>
          <w:sz w:val="24"/>
          <w:szCs w:val="24"/>
        </w:rPr>
      </w:pPr>
      <w:r>
        <w:rPr>
          <w:rFonts w:ascii="Arial" w:eastAsia="Times New Roman" w:hAnsi="Arial" w:cs="Arial"/>
          <w:b/>
          <w:bCs/>
          <w:sz w:val="24"/>
          <w:szCs w:val="24"/>
        </w:rPr>
        <w:t xml:space="preserve">Biospecimens </w:t>
      </w:r>
    </w:p>
    <w:tbl>
      <w:tblPr>
        <w:tblpPr w:leftFromText="180" w:rightFromText="180" w:vertAnchor="page" w:horzAnchor="margin" w:tblpY="9931"/>
        <w:tblW w:w="9090" w:type="dxa"/>
        <w:tblLayout w:type="fixed"/>
        <w:tblLook w:val="04A0" w:firstRow="1" w:lastRow="0" w:firstColumn="1" w:lastColumn="0" w:noHBand="0" w:noVBand="1"/>
      </w:tblPr>
      <w:tblGrid>
        <w:gridCol w:w="270"/>
        <w:gridCol w:w="1710"/>
        <w:gridCol w:w="1710"/>
        <w:gridCol w:w="1823"/>
        <w:gridCol w:w="3577"/>
      </w:tblGrid>
      <w:tr w:rsidR="00E84D4B" w:rsidRPr="00DA30D7" w:rsidTr="001F6EEE">
        <w:trPr>
          <w:trHeight w:val="707"/>
        </w:trPr>
        <w:tc>
          <w:tcPr>
            <w:tcW w:w="1980" w:type="dxa"/>
            <w:gridSpan w:val="2"/>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b/>
                <w:bCs/>
                <w:color w:val="000000"/>
                <w:sz w:val="20"/>
                <w:szCs w:val="20"/>
              </w:rPr>
            </w:pPr>
            <w:r w:rsidRPr="00E66A4A">
              <w:rPr>
                <w:rFonts w:ascii="Arial" w:eastAsia="Times New Roman" w:hAnsi="Arial" w:cs="Arial"/>
                <w:b/>
                <w:bCs/>
                <w:color w:val="000000"/>
                <w:sz w:val="20"/>
                <w:szCs w:val="20"/>
              </w:rPr>
              <w:t>Amplicon</w:t>
            </w:r>
          </w:p>
        </w:tc>
        <w:tc>
          <w:tcPr>
            <w:tcW w:w="1710" w:type="dxa"/>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b/>
                <w:bCs/>
                <w:color w:val="000000"/>
                <w:sz w:val="20"/>
                <w:szCs w:val="20"/>
              </w:rPr>
            </w:pPr>
            <w:r w:rsidRPr="00E66A4A">
              <w:rPr>
                <w:rFonts w:ascii="Arial" w:eastAsia="Times New Roman" w:hAnsi="Arial" w:cs="Arial"/>
                <w:b/>
                <w:bCs/>
                <w:color w:val="000000"/>
                <w:sz w:val="20"/>
                <w:szCs w:val="20"/>
              </w:rPr>
              <w:t>RefSeq in sequence</w:t>
            </w:r>
            <w:r>
              <w:rPr>
                <w:rFonts w:ascii="Arial" w:eastAsia="Times New Roman" w:hAnsi="Arial" w:cs="Arial"/>
                <w:b/>
                <w:bCs/>
                <w:color w:val="000000"/>
                <w:sz w:val="20"/>
                <w:szCs w:val="20"/>
                <w:vertAlign w:val="superscript"/>
              </w:rPr>
              <w:t>a</w:t>
            </w:r>
          </w:p>
        </w:tc>
        <w:tc>
          <w:tcPr>
            <w:tcW w:w="1823" w:type="dxa"/>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b/>
                <w:bCs/>
                <w:color w:val="000000"/>
                <w:sz w:val="20"/>
                <w:szCs w:val="20"/>
              </w:rPr>
            </w:pPr>
            <w:r w:rsidRPr="00E66A4A">
              <w:rPr>
                <w:rFonts w:ascii="Arial" w:eastAsia="Times New Roman" w:hAnsi="Arial" w:cs="Arial"/>
                <w:b/>
                <w:bCs/>
                <w:color w:val="000000"/>
                <w:sz w:val="20"/>
                <w:szCs w:val="20"/>
              </w:rPr>
              <w:t>Chr19: Position</w:t>
            </w:r>
            <w:r>
              <w:rPr>
                <w:rFonts w:ascii="Arial" w:eastAsia="Times New Roman" w:hAnsi="Arial" w:cs="Arial"/>
                <w:b/>
                <w:bCs/>
                <w:color w:val="000000"/>
                <w:sz w:val="20"/>
                <w:szCs w:val="20"/>
                <w:vertAlign w:val="superscript"/>
              </w:rPr>
              <w:t>b</w:t>
            </w:r>
          </w:p>
        </w:tc>
        <w:tc>
          <w:tcPr>
            <w:tcW w:w="3577" w:type="dxa"/>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b/>
                <w:bCs/>
                <w:color w:val="000000"/>
                <w:sz w:val="20"/>
                <w:szCs w:val="20"/>
              </w:rPr>
            </w:pPr>
            <w:r w:rsidRPr="00E66A4A">
              <w:rPr>
                <w:rFonts w:ascii="Arial" w:eastAsia="Times New Roman" w:hAnsi="Arial" w:cs="Arial"/>
                <w:b/>
                <w:bCs/>
                <w:color w:val="000000"/>
                <w:sz w:val="20"/>
                <w:szCs w:val="20"/>
              </w:rPr>
              <w:t>Location &amp; Effect</w:t>
            </w:r>
            <w:r>
              <w:rPr>
                <w:rFonts w:ascii="Arial" w:eastAsia="Times New Roman" w:hAnsi="Arial" w:cs="Arial"/>
                <w:b/>
                <w:bCs/>
                <w:color w:val="000000"/>
                <w:sz w:val="20"/>
                <w:szCs w:val="20"/>
                <w:vertAlign w:val="superscript"/>
              </w:rPr>
              <w:t>c</w:t>
            </w:r>
          </w:p>
        </w:tc>
      </w:tr>
      <w:tr w:rsidR="00E84D4B" w:rsidRPr="00DA30D7" w:rsidTr="001F6EEE">
        <w:trPr>
          <w:trHeight w:val="330"/>
        </w:trPr>
        <w:tc>
          <w:tcPr>
            <w:tcW w:w="270" w:type="dxa"/>
            <w:tcBorders>
              <w:top w:val="nil"/>
              <w:left w:val="nil"/>
              <w:bottom w:val="nil"/>
              <w:right w:val="nil"/>
            </w:tcBorders>
            <w:shd w:val="clear" w:color="auto" w:fill="auto"/>
            <w:noWrap/>
            <w:vAlign w:val="center"/>
          </w:tcPr>
          <w:p w:rsidR="00E84D4B" w:rsidRPr="00E66A4A" w:rsidRDefault="00E84D4B" w:rsidP="001F6EEE">
            <w:pPr>
              <w:spacing w:after="0" w:line="240" w:lineRule="auto"/>
              <w:rPr>
                <w:rFonts w:ascii="Arial" w:eastAsia="Times New Roman" w:hAnsi="Arial" w:cs="Arial"/>
                <w:sz w:val="20"/>
                <w:szCs w:val="20"/>
              </w:rPr>
            </w:pPr>
            <w:bookmarkStart w:id="0" w:name="_Hlk86339213"/>
          </w:p>
        </w:tc>
        <w:tc>
          <w:tcPr>
            <w:tcW w:w="1710" w:type="dxa"/>
            <w:tcBorders>
              <w:top w:val="nil"/>
              <w:left w:val="nil"/>
              <w:bottom w:val="nil"/>
              <w:right w:val="nil"/>
            </w:tcBorders>
            <w:shd w:val="clear" w:color="auto" w:fill="auto"/>
            <w:vAlign w:val="center"/>
          </w:tcPr>
          <w:p w:rsidR="00E84D4B" w:rsidRPr="00E66A4A" w:rsidRDefault="00E84D4B" w:rsidP="001F6EEE">
            <w:pPr>
              <w:spacing w:after="0" w:line="240" w:lineRule="auto"/>
              <w:rPr>
                <w:rFonts w:ascii="Arial" w:eastAsia="Times New Roman" w:hAnsi="Arial" w:cs="Arial"/>
                <w:color w:val="000000"/>
                <w:sz w:val="20"/>
                <w:szCs w:val="20"/>
              </w:rPr>
            </w:pPr>
            <w:r w:rsidRPr="00E66A4A">
              <w:rPr>
                <w:rFonts w:ascii="Arial" w:eastAsia="Times New Roman" w:hAnsi="Arial" w:cs="Arial"/>
                <w:b/>
                <w:bCs/>
                <w:i/>
                <w:iCs/>
                <w:color w:val="000000"/>
                <w:sz w:val="20"/>
                <w:szCs w:val="20"/>
              </w:rPr>
              <w:t>APOE</w:t>
            </w:r>
            <w:r w:rsidRPr="00E66A4A">
              <w:rPr>
                <w:rFonts w:ascii="Arial" w:eastAsia="Times New Roman" w:hAnsi="Arial" w:cs="Arial"/>
                <w:b/>
                <w:bCs/>
                <w:color w:val="000000"/>
                <w:sz w:val="20"/>
                <w:szCs w:val="20"/>
              </w:rPr>
              <w:t>_443bp</w:t>
            </w:r>
          </w:p>
        </w:tc>
        <w:tc>
          <w:tcPr>
            <w:tcW w:w="1710" w:type="dxa"/>
            <w:tcBorders>
              <w:top w:val="nil"/>
              <w:left w:val="nil"/>
              <w:bottom w:val="nil"/>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b/>
                <w:bCs/>
                <w:sz w:val="20"/>
                <w:szCs w:val="20"/>
              </w:rPr>
            </w:pPr>
            <w:r w:rsidRPr="00E66A4A">
              <w:rPr>
                <w:rFonts w:ascii="Arial" w:eastAsia="Times New Roman" w:hAnsi="Arial" w:cs="Arial"/>
                <w:b/>
                <w:bCs/>
                <w:sz w:val="20"/>
                <w:szCs w:val="20"/>
              </w:rPr>
              <w:t>rs429358 (T&gt;C)</w:t>
            </w:r>
          </w:p>
        </w:tc>
        <w:tc>
          <w:tcPr>
            <w:tcW w:w="1823"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44908684</w:t>
            </w:r>
          </w:p>
        </w:tc>
        <w:tc>
          <w:tcPr>
            <w:tcW w:w="3577"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Exon 4, missense</w:t>
            </w:r>
          </w:p>
        </w:tc>
      </w:tr>
      <w:tr w:rsidR="00E84D4B" w:rsidRPr="00DA30D7" w:rsidTr="001F6EEE">
        <w:trPr>
          <w:trHeight w:val="418"/>
        </w:trPr>
        <w:tc>
          <w:tcPr>
            <w:tcW w:w="270" w:type="dxa"/>
            <w:tcBorders>
              <w:top w:val="nil"/>
              <w:left w:val="nil"/>
              <w:bottom w:val="single" w:sz="4" w:space="0" w:color="auto"/>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color w:val="000000"/>
                <w:sz w:val="20"/>
                <w:szCs w:val="20"/>
              </w:rPr>
            </w:pPr>
          </w:p>
        </w:tc>
        <w:tc>
          <w:tcPr>
            <w:tcW w:w="1710"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p>
        </w:tc>
        <w:tc>
          <w:tcPr>
            <w:tcW w:w="1710"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b/>
                <w:bCs/>
                <w:sz w:val="20"/>
                <w:szCs w:val="20"/>
              </w:rPr>
            </w:pPr>
            <w:r w:rsidRPr="00E66A4A">
              <w:rPr>
                <w:rFonts w:ascii="Arial" w:eastAsia="Times New Roman" w:hAnsi="Arial" w:cs="Arial"/>
                <w:b/>
                <w:bCs/>
                <w:sz w:val="20"/>
                <w:szCs w:val="20"/>
              </w:rPr>
              <w:t>rs7412 (C&gt;T</w:t>
            </w:r>
          </w:p>
        </w:tc>
        <w:tc>
          <w:tcPr>
            <w:tcW w:w="1823"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44905307</w:t>
            </w:r>
          </w:p>
        </w:tc>
        <w:tc>
          <w:tcPr>
            <w:tcW w:w="3577"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DA30D7">
              <w:rPr>
                <w:rFonts w:ascii="Arial" w:eastAsia="Times New Roman" w:hAnsi="Arial" w:cs="Arial"/>
                <w:color w:val="000000"/>
                <w:sz w:val="20"/>
                <w:szCs w:val="20"/>
              </w:rPr>
              <w:t xml:space="preserve">         “    </w:t>
            </w:r>
            <w:r>
              <w:rPr>
                <w:rFonts w:ascii="Arial" w:eastAsia="Times New Roman" w:hAnsi="Arial" w:cs="Arial"/>
                <w:color w:val="000000"/>
                <w:sz w:val="20"/>
                <w:szCs w:val="20"/>
              </w:rPr>
              <w:t xml:space="preserve">    </w:t>
            </w:r>
            <w:r w:rsidRPr="00DA30D7">
              <w:rPr>
                <w:rFonts w:ascii="Arial" w:eastAsia="Times New Roman" w:hAnsi="Arial" w:cs="Arial"/>
                <w:color w:val="000000"/>
                <w:sz w:val="20"/>
                <w:szCs w:val="20"/>
              </w:rPr>
              <w:t xml:space="preserve">  “</w:t>
            </w:r>
          </w:p>
        </w:tc>
      </w:tr>
      <w:bookmarkEnd w:id="0"/>
      <w:tr w:rsidR="00E84D4B" w:rsidRPr="00DA30D7" w:rsidTr="001F6EEE">
        <w:trPr>
          <w:trHeight w:val="279"/>
        </w:trPr>
        <w:tc>
          <w:tcPr>
            <w:tcW w:w="270" w:type="dxa"/>
            <w:tcBorders>
              <w:top w:val="nil"/>
              <w:left w:val="nil"/>
              <w:bottom w:val="nil"/>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sz w:val="20"/>
                <w:szCs w:val="20"/>
              </w:rPr>
            </w:pPr>
          </w:p>
        </w:tc>
        <w:tc>
          <w:tcPr>
            <w:tcW w:w="1710"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color w:val="000000"/>
                <w:sz w:val="20"/>
                <w:szCs w:val="20"/>
              </w:rPr>
            </w:pPr>
            <w:r w:rsidRPr="00E66A4A">
              <w:rPr>
                <w:rFonts w:ascii="Arial" w:eastAsia="Times New Roman" w:hAnsi="Arial" w:cs="Arial"/>
                <w:i/>
                <w:iCs/>
                <w:color w:val="000000"/>
                <w:sz w:val="20"/>
                <w:szCs w:val="20"/>
              </w:rPr>
              <w:t>APOE</w:t>
            </w:r>
            <w:r w:rsidRPr="00E66A4A">
              <w:rPr>
                <w:rFonts w:ascii="Arial" w:eastAsia="Times New Roman" w:hAnsi="Arial" w:cs="Arial"/>
                <w:color w:val="000000"/>
                <w:sz w:val="20"/>
                <w:szCs w:val="20"/>
              </w:rPr>
              <w:t>_535bp</w:t>
            </w:r>
          </w:p>
        </w:tc>
        <w:tc>
          <w:tcPr>
            <w:tcW w:w="1710" w:type="dxa"/>
            <w:tcBorders>
              <w:top w:val="nil"/>
              <w:left w:val="nil"/>
              <w:bottom w:val="nil"/>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color w:val="000000"/>
                <w:sz w:val="20"/>
                <w:szCs w:val="20"/>
              </w:rPr>
            </w:pPr>
            <w:r w:rsidRPr="00E66A4A">
              <w:rPr>
                <w:rFonts w:ascii="Arial" w:eastAsia="Times New Roman" w:hAnsi="Arial" w:cs="Arial"/>
                <w:color w:val="000000"/>
                <w:sz w:val="20"/>
                <w:szCs w:val="20"/>
              </w:rPr>
              <w:t>rs449647 (T&gt;A)</w:t>
            </w:r>
          </w:p>
        </w:tc>
        <w:tc>
          <w:tcPr>
            <w:tcW w:w="1823"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44905307</w:t>
            </w:r>
          </w:p>
        </w:tc>
        <w:tc>
          <w:tcPr>
            <w:tcW w:w="3577" w:type="dxa"/>
            <w:tcBorders>
              <w:top w:val="nil"/>
              <w:left w:val="nil"/>
              <w:bottom w:val="nil"/>
              <w:right w:val="nil"/>
            </w:tcBorders>
            <w:shd w:val="clear" w:color="auto" w:fill="auto"/>
            <w:vAlign w:val="center"/>
            <w:hideMark/>
          </w:tcPr>
          <w:p w:rsidR="00E84D4B" w:rsidRDefault="00E84D4B" w:rsidP="001F6EEE">
            <w:pPr>
              <w:spacing w:after="0" w:line="240" w:lineRule="auto"/>
              <w:rPr>
                <w:rFonts w:ascii="Arial" w:eastAsia="Times New Roman" w:hAnsi="Arial" w:cs="Arial"/>
                <w:color w:val="000000"/>
                <w:sz w:val="20"/>
                <w:szCs w:val="20"/>
              </w:rPr>
            </w:pPr>
            <w:r w:rsidRPr="00E66A4A">
              <w:rPr>
                <w:rFonts w:ascii="Arial" w:eastAsia="Times New Roman" w:hAnsi="Arial" w:cs="Arial"/>
                <w:color w:val="000000"/>
                <w:sz w:val="20"/>
                <w:szCs w:val="20"/>
              </w:rPr>
              <w:t>Intergenic (</w:t>
            </w:r>
            <w:r w:rsidRPr="00E66A4A">
              <w:rPr>
                <w:rFonts w:ascii="Arial" w:eastAsia="Times New Roman" w:hAnsi="Arial" w:cs="Arial"/>
                <w:i/>
                <w:iCs/>
                <w:color w:val="000000"/>
                <w:sz w:val="20"/>
                <w:szCs w:val="20"/>
              </w:rPr>
              <w:t>TOMM40 - APOE</w:t>
            </w:r>
            <w:r w:rsidRPr="00E66A4A">
              <w:rPr>
                <w:rFonts w:ascii="Arial" w:eastAsia="Times New Roman" w:hAnsi="Arial" w:cs="Arial"/>
                <w:color w:val="000000"/>
                <w:sz w:val="20"/>
                <w:szCs w:val="20"/>
              </w:rPr>
              <w:t>)</w:t>
            </w:r>
            <w:r w:rsidRPr="00DA30D7">
              <w:rPr>
                <w:rFonts w:ascii="Arial" w:eastAsia="Times New Roman" w:hAnsi="Arial" w:cs="Arial"/>
                <w:color w:val="000000"/>
                <w:sz w:val="20"/>
                <w:szCs w:val="20"/>
              </w:rPr>
              <w:t>,</w:t>
            </w:r>
            <w:r w:rsidRPr="00E66A4A">
              <w:rPr>
                <w:rFonts w:ascii="Arial" w:eastAsia="Times New Roman" w:hAnsi="Arial" w:cs="Arial"/>
                <w:color w:val="000000"/>
                <w:sz w:val="20"/>
                <w:szCs w:val="20"/>
              </w:rPr>
              <w:t xml:space="preserve"> </w:t>
            </w:r>
          </w:p>
          <w:p w:rsidR="00E84D4B" w:rsidRPr="00E66A4A" w:rsidRDefault="00E84D4B" w:rsidP="001F6EEE">
            <w:pPr>
              <w:spacing w:after="0" w:line="240" w:lineRule="auto"/>
              <w:rPr>
                <w:rFonts w:ascii="Arial" w:eastAsia="Times New Roman" w:hAnsi="Arial" w:cs="Arial"/>
                <w:color w:val="000000"/>
                <w:sz w:val="20"/>
                <w:szCs w:val="20"/>
              </w:rPr>
            </w:pPr>
            <w:r w:rsidRPr="00E66A4A">
              <w:rPr>
                <w:rFonts w:ascii="Arial" w:eastAsia="Times New Roman" w:hAnsi="Arial" w:cs="Arial"/>
                <w:color w:val="000000"/>
                <w:sz w:val="20"/>
                <w:szCs w:val="20"/>
              </w:rPr>
              <w:t>5'</w:t>
            </w:r>
            <w:r w:rsidRPr="00DA30D7">
              <w:rPr>
                <w:rFonts w:ascii="Arial" w:eastAsia="Times New Roman" w:hAnsi="Arial" w:cs="Arial"/>
                <w:color w:val="000000"/>
                <w:sz w:val="20"/>
                <w:szCs w:val="20"/>
              </w:rPr>
              <w:t>-</w:t>
            </w:r>
            <w:r w:rsidRPr="00E66A4A">
              <w:rPr>
                <w:rFonts w:ascii="Arial" w:eastAsia="Times New Roman" w:hAnsi="Arial" w:cs="Arial"/>
                <w:color w:val="000000"/>
                <w:sz w:val="20"/>
                <w:szCs w:val="20"/>
              </w:rPr>
              <w:t>UTR of APOE</w:t>
            </w:r>
          </w:p>
        </w:tc>
      </w:tr>
      <w:tr w:rsidR="00E84D4B" w:rsidRPr="00DA30D7" w:rsidTr="001F6EEE">
        <w:trPr>
          <w:trHeight w:val="186"/>
        </w:trPr>
        <w:tc>
          <w:tcPr>
            <w:tcW w:w="270" w:type="dxa"/>
            <w:tcBorders>
              <w:top w:val="nil"/>
              <w:left w:val="nil"/>
              <w:bottom w:val="nil"/>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color w:val="000000"/>
                <w:sz w:val="20"/>
                <w:szCs w:val="20"/>
              </w:rPr>
            </w:pPr>
          </w:p>
        </w:tc>
        <w:tc>
          <w:tcPr>
            <w:tcW w:w="1710"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p>
        </w:tc>
        <w:tc>
          <w:tcPr>
            <w:tcW w:w="1710" w:type="dxa"/>
            <w:tcBorders>
              <w:top w:val="nil"/>
              <w:left w:val="nil"/>
              <w:bottom w:val="nil"/>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color w:val="000000"/>
                <w:sz w:val="20"/>
                <w:szCs w:val="20"/>
              </w:rPr>
            </w:pPr>
            <w:r w:rsidRPr="00E66A4A">
              <w:rPr>
                <w:rFonts w:ascii="Arial" w:eastAsia="Times New Roman" w:hAnsi="Arial" w:cs="Arial"/>
                <w:color w:val="000000"/>
                <w:sz w:val="20"/>
                <w:szCs w:val="20"/>
              </w:rPr>
              <w:t>rs769446 (T&gt;C)</w:t>
            </w:r>
          </w:p>
        </w:tc>
        <w:tc>
          <w:tcPr>
            <w:tcW w:w="1823" w:type="dxa"/>
            <w:tcBorders>
              <w:top w:val="nil"/>
              <w:left w:val="nil"/>
              <w:bottom w:val="nil"/>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44905371</w:t>
            </w:r>
          </w:p>
        </w:tc>
        <w:tc>
          <w:tcPr>
            <w:tcW w:w="3577" w:type="dxa"/>
            <w:tcBorders>
              <w:top w:val="nil"/>
              <w:left w:val="nil"/>
              <w:bottom w:val="nil"/>
              <w:right w:val="nil"/>
            </w:tcBorders>
            <w:shd w:val="clear" w:color="auto" w:fill="auto"/>
            <w:vAlign w:val="center"/>
          </w:tcPr>
          <w:p w:rsidR="00E84D4B" w:rsidRPr="00E66A4A" w:rsidRDefault="00E84D4B" w:rsidP="001F6EEE">
            <w:pPr>
              <w:spacing w:after="0" w:line="240" w:lineRule="auto"/>
              <w:rPr>
                <w:rFonts w:ascii="Arial" w:eastAsia="Times New Roman" w:hAnsi="Arial" w:cs="Arial"/>
                <w:color w:val="000000"/>
                <w:sz w:val="20"/>
                <w:szCs w:val="20"/>
              </w:rPr>
            </w:pPr>
            <w:r w:rsidRPr="00DA30D7">
              <w:rPr>
                <w:rFonts w:ascii="Arial" w:eastAsia="Times New Roman" w:hAnsi="Arial" w:cs="Arial"/>
                <w:color w:val="000000"/>
                <w:sz w:val="20"/>
                <w:szCs w:val="20"/>
              </w:rPr>
              <w:t xml:space="preserve">         “     </w:t>
            </w:r>
            <w:r>
              <w:rPr>
                <w:rFonts w:ascii="Arial" w:eastAsia="Times New Roman" w:hAnsi="Arial" w:cs="Arial"/>
                <w:color w:val="000000"/>
                <w:sz w:val="20"/>
                <w:szCs w:val="20"/>
              </w:rPr>
              <w:t xml:space="preserve">    </w:t>
            </w:r>
            <w:r w:rsidRPr="00DA30D7">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 </w:t>
            </w:r>
            <w:r w:rsidRPr="00DA30D7">
              <w:rPr>
                <w:rFonts w:ascii="Arial" w:eastAsia="Times New Roman" w:hAnsi="Arial" w:cs="Arial"/>
                <w:color w:val="000000"/>
                <w:sz w:val="20"/>
                <w:szCs w:val="20"/>
              </w:rPr>
              <w:t>“</w:t>
            </w:r>
          </w:p>
        </w:tc>
      </w:tr>
      <w:tr w:rsidR="00E84D4B" w:rsidRPr="00DA30D7" w:rsidTr="001F6EEE">
        <w:trPr>
          <w:trHeight w:val="324"/>
        </w:trPr>
        <w:tc>
          <w:tcPr>
            <w:tcW w:w="270" w:type="dxa"/>
            <w:tcBorders>
              <w:top w:val="nil"/>
              <w:left w:val="nil"/>
              <w:bottom w:val="single" w:sz="4" w:space="0" w:color="auto"/>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color w:val="000000"/>
                <w:sz w:val="20"/>
                <w:szCs w:val="20"/>
              </w:rPr>
            </w:pPr>
          </w:p>
        </w:tc>
        <w:tc>
          <w:tcPr>
            <w:tcW w:w="1710"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p>
        </w:tc>
        <w:tc>
          <w:tcPr>
            <w:tcW w:w="1710"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ind w:right="-19"/>
              <w:rPr>
                <w:rFonts w:ascii="Arial" w:eastAsia="Times New Roman" w:hAnsi="Arial" w:cs="Arial"/>
                <w:color w:val="000000"/>
                <w:sz w:val="20"/>
                <w:szCs w:val="20"/>
              </w:rPr>
            </w:pPr>
            <w:r w:rsidRPr="00E66A4A">
              <w:rPr>
                <w:rFonts w:ascii="Arial" w:eastAsia="Times New Roman" w:hAnsi="Arial" w:cs="Arial"/>
                <w:color w:val="000000"/>
                <w:sz w:val="20"/>
                <w:szCs w:val="20"/>
              </w:rPr>
              <w:t>rs405509 (G&gt;T)</w:t>
            </w:r>
          </w:p>
        </w:tc>
        <w:tc>
          <w:tcPr>
            <w:tcW w:w="1823" w:type="dxa"/>
            <w:tcBorders>
              <w:top w:val="nil"/>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44905579</w:t>
            </w:r>
          </w:p>
        </w:tc>
        <w:tc>
          <w:tcPr>
            <w:tcW w:w="3577" w:type="dxa"/>
            <w:tcBorders>
              <w:top w:val="nil"/>
              <w:left w:val="nil"/>
              <w:bottom w:val="single" w:sz="4" w:space="0" w:color="auto"/>
              <w:right w:val="nil"/>
            </w:tcBorders>
            <w:shd w:val="clear" w:color="auto" w:fill="auto"/>
            <w:vAlign w:val="center"/>
          </w:tcPr>
          <w:p w:rsidR="00E84D4B" w:rsidRPr="00E66A4A" w:rsidRDefault="00E84D4B" w:rsidP="001F6EEE">
            <w:pPr>
              <w:spacing w:after="0" w:line="240" w:lineRule="auto"/>
              <w:rPr>
                <w:rFonts w:ascii="Arial" w:eastAsia="Times New Roman" w:hAnsi="Arial" w:cs="Arial"/>
                <w:color w:val="000000"/>
                <w:sz w:val="20"/>
                <w:szCs w:val="20"/>
              </w:rPr>
            </w:pPr>
            <w:r w:rsidRPr="00DA30D7">
              <w:rPr>
                <w:rFonts w:ascii="Arial" w:eastAsia="Times New Roman" w:hAnsi="Arial" w:cs="Arial"/>
                <w:color w:val="000000"/>
                <w:sz w:val="20"/>
                <w:szCs w:val="20"/>
              </w:rPr>
              <w:t xml:space="preserve">         “      </w:t>
            </w:r>
            <w:r>
              <w:rPr>
                <w:rFonts w:ascii="Arial" w:eastAsia="Times New Roman" w:hAnsi="Arial" w:cs="Arial"/>
                <w:color w:val="000000"/>
                <w:sz w:val="20"/>
                <w:szCs w:val="20"/>
              </w:rPr>
              <w:t xml:space="preserve">     </w:t>
            </w:r>
            <w:r w:rsidRPr="00DA30D7">
              <w:rPr>
                <w:rFonts w:ascii="Arial" w:eastAsia="Times New Roman" w:hAnsi="Arial" w:cs="Arial"/>
                <w:color w:val="000000"/>
                <w:sz w:val="20"/>
                <w:szCs w:val="20"/>
              </w:rPr>
              <w:t>“</w:t>
            </w:r>
          </w:p>
        </w:tc>
      </w:tr>
      <w:tr w:rsidR="00E84D4B" w:rsidRPr="00DA30D7" w:rsidTr="001F6EEE">
        <w:trPr>
          <w:trHeight w:val="575"/>
        </w:trPr>
        <w:tc>
          <w:tcPr>
            <w:tcW w:w="1980" w:type="dxa"/>
            <w:gridSpan w:val="2"/>
            <w:tcBorders>
              <w:top w:val="single" w:sz="4" w:space="0" w:color="auto"/>
              <w:left w:val="nil"/>
              <w:bottom w:val="single" w:sz="4" w:space="0" w:color="auto"/>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color w:val="000000"/>
                <w:sz w:val="20"/>
                <w:szCs w:val="20"/>
              </w:rPr>
            </w:pPr>
            <w:r w:rsidRPr="006E3E81">
              <w:rPr>
                <w:rFonts w:ascii="Arial" w:eastAsia="Times New Roman" w:hAnsi="Arial" w:cs="Arial"/>
                <w:i/>
                <w:iCs/>
                <w:color w:val="000000"/>
                <w:sz w:val="20"/>
                <w:szCs w:val="20"/>
              </w:rPr>
              <w:t xml:space="preserve">    </w:t>
            </w:r>
            <w:r w:rsidRPr="00E66A4A">
              <w:rPr>
                <w:rFonts w:ascii="Arial" w:eastAsia="Times New Roman" w:hAnsi="Arial" w:cs="Arial"/>
                <w:i/>
                <w:iCs/>
                <w:color w:val="000000"/>
                <w:sz w:val="20"/>
                <w:szCs w:val="20"/>
              </w:rPr>
              <w:t>APOE</w:t>
            </w:r>
            <w:r w:rsidRPr="00E66A4A">
              <w:rPr>
                <w:rFonts w:ascii="Arial" w:eastAsia="Times New Roman" w:hAnsi="Arial" w:cs="Arial"/>
                <w:color w:val="000000"/>
                <w:sz w:val="20"/>
                <w:szCs w:val="20"/>
              </w:rPr>
              <w:t>_191bp</w:t>
            </w:r>
          </w:p>
        </w:tc>
        <w:tc>
          <w:tcPr>
            <w:tcW w:w="1710" w:type="dxa"/>
            <w:tcBorders>
              <w:top w:val="single" w:sz="4" w:space="0" w:color="auto"/>
              <w:left w:val="nil"/>
              <w:bottom w:val="single" w:sz="4" w:space="0" w:color="auto"/>
              <w:right w:val="nil"/>
            </w:tcBorders>
            <w:shd w:val="clear" w:color="auto" w:fill="auto"/>
            <w:noWrap/>
            <w:vAlign w:val="center"/>
            <w:hideMark/>
          </w:tcPr>
          <w:p w:rsidR="00E84D4B" w:rsidRPr="00E66A4A" w:rsidRDefault="00E84D4B" w:rsidP="001F6EEE">
            <w:pPr>
              <w:spacing w:after="0" w:line="240" w:lineRule="auto"/>
              <w:ind w:right="-19"/>
              <w:rPr>
                <w:rFonts w:ascii="Arial" w:eastAsia="Times New Roman" w:hAnsi="Arial" w:cs="Arial"/>
                <w:b/>
                <w:bCs/>
                <w:color w:val="000000"/>
                <w:sz w:val="20"/>
                <w:szCs w:val="20"/>
              </w:rPr>
            </w:pPr>
            <w:r w:rsidRPr="00E66A4A">
              <w:rPr>
                <w:rFonts w:ascii="Arial" w:eastAsia="Times New Roman" w:hAnsi="Arial" w:cs="Arial"/>
                <w:color w:val="000000"/>
                <w:sz w:val="20"/>
                <w:szCs w:val="20"/>
              </w:rPr>
              <w:t>rs439401</w:t>
            </w:r>
          </w:p>
        </w:tc>
        <w:tc>
          <w:tcPr>
            <w:tcW w:w="1823" w:type="dxa"/>
            <w:tcBorders>
              <w:top w:val="single" w:sz="4" w:space="0" w:color="auto"/>
              <w:left w:val="nil"/>
              <w:bottom w:val="single" w:sz="4" w:space="0" w:color="auto"/>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44911194</w:t>
            </w:r>
          </w:p>
        </w:tc>
        <w:tc>
          <w:tcPr>
            <w:tcW w:w="3577" w:type="dxa"/>
            <w:tcBorders>
              <w:top w:val="single" w:sz="4" w:space="0" w:color="auto"/>
              <w:left w:val="nil"/>
              <w:bottom w:val="single" w:sz="4"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color w:val="000000"/>
                <w:sz w:val="20"/>
                <w:szCs w:val="20"/>
              </w:rPr>
              <w:t>intergenic (</w:t>
            </w:r>
            <w:r w:rsidRPr="00E66A4A">
              <w:rPr>
                <w:rFonts w:ascii="Arial" w:eastAsia="Times New Roman" w:hAnsi="Arial" w:cs="Arial"/>
                <w:i/>
                <w:iCs/>
                <w:color w:val="000000"/>
                <w:sz w:val="20"/>
                <w:szCs w:val="20"/>
              </w:rPr>
              <w:t>APOE-APOC1</w:t>
            </w:r>
            <w:r w:rsidRPr="00E66A4A">
              <w:rPr>
                <w:rFonts w:ascii="Arial" w:eastAsia="Times New Roman" w:hAnsi="Arial" w:cs="Arial"/>
                <w:color w:val="000000"/>
                <w:sz w:val="20"/>
                <w:szCs w:val="20"/>
              </w:rPr>
              <w:t xml:space="preserve">) downstream to </w:t>
            </w:r>
            <w:r w:rsidRPr="00E66A4A">
              <w:rPr>
                <w:rFonts w:ascii="Arial" w:eastAsia="Times New Roman" w:hAnsi="Arial" w:cs="Arial"/>
                <w:i/>
                <w:iCs/>
                <w:color w:val="000000"/>
                <w:sz w:val="20"/>
                <w:szCs w:val="20"/>
              </w:rPr>
              <w:t>APOE</w:t>
            </w:r>
          </w:p>
        </w:tc>
      </w:tr>
      <w:tr w:rsidR="00E84D4B" w:rsidRPr="00DA30D7" w:rsidTr="001F6EEE">
        <w:trPr>
          <w:trHeight w:val="707"/>
        </w:trPr>
        <w:tc>
          <w:tcPr>
            <w:tcW w:w="1980" w:type="dxa"/>
            <w:gridSpan w:val="2"/>
            <w:tcBorders>
              <w:top w:val="single" w:sz="4" w:space="0" w:color="auto"/>
              <w:left w:val="nil"/>
              <w:bottom w:val="single" w:sz="12" w:space="0" w:color="auto"/>
              <w:right w:val="nil"/>
            </w:tcBorders>
            <w:shd w:val="clear" w:color="auto" w:fill="auto"/>
            <w:noWrap/>
            <w:vAlign w:val="center"/>
            <w:hideMark/>
          </w:tcPr>
          <w:p w:rsidR="00E84D4B" w:rsidRPr="00E66A4A" w:rsidRDefault="00E84D4B" w:rsidP="001F6EEE">
            <w:pPr>
              <w:spacing w:after="0" w:line="240" w:lineRule="auto"/>
              <w:rPr>
                <w:rFonts w:ascii="Arial" w:eastAsia="Times New Roman" w:hAnsi="Arial" w:cs="Arial"/>
                <w:color w:val="000000"/>
                <w:sz w:val="20"/>
                <w:szCs w:val="20"/>
              </w:rPr>
            </w:pPr>
            <w:r w:rsidRPr="006E3E81">
              <w:rPr>
                <w:rFonts w:ascii="Arial" w:eastAsia="Times New Roman" w:hAnsi="Arial" w:cs="Arial"/>
                <w:i/>
                <w:iCs/>
                <w:color w:val="000000"/>
                <w:sz w:val="20"/>
                <w:szCs w:val="20"/>
              </w:rPr>
              <w:t xml:space="preserve">    </w:t>
            </w:r>
            <w:r w:rsidRPr="00E66A4A">
              <w:rPr>
                <w:rFonts w:ascii="Arial" w:eastAsia="Times New Roman" w:hAnsi="Arial" w:cs="Arial"/>
                <w:i/>
                <w:iCs/>
                <w:color w:val="000000"/>
                <w:sz w:val="20"/>
                <w:szCs w:val="20"/>
              </w:rPr>
              <w:t>APOE</w:t>
            </w:r>
            <w:r w:rsidRPr="00E66A4A">
              <w:rPr>
                <w:rFonts w:ascii="Arial" w:eastAsia="Times New Roman" w:hAnsi="Arial" w:cs="Arial"/>
                <w:color w:val="000000"/>
                <w:sz w:val="20"/>
                <w:szCs w:val="20"/>
              </w:rPr>
              <w:t>_364bp</w:t>
            </w:r>
          </w:p>
        </w:tc>
        <w:tc>
          <w:tcPr>
            <w:tcW w:w="1710" w:type="dxa"/>
            <w:tcBorders>
              <w:top w:val="single" w:sz="4" w:space="0" w:color="auto"/>
              <w:left w:val="nil"/>
              <w:bottom w:val="single" w:sz="12" w:space="0" w:color="auto"/>
              <w:right w:val="nil"/>
            </w:tcBorders>
            <w:shd w:val="clear" w:color="auto" w:fill="auto"/>
            <w:noWrap/>
            <w:vAlign w:val="center"/>
            <w:hideMark/>
          </w:tcPr>
          <w:p w:rsidR="00E84D4B" w:rsidRPr="00E66A4A" w:rsidRDefault="00E84D4B" w:rsidP="001F6EEE">
            <w:pPr>
              <w:spacing w:after="0" w:line="240" w:lineRule="auto"/>
              <w:ind w:right="-19"/>
              <w:rPr>
                <w:rFonts w:ascii="Arial" w:eastAsia="Times New Roman" w:hAnsi="Arial" w:cs="Arial"/>
                <w:b/>
                <w:bCs/>
                <w:color w:val="000000"/>
                <w:sz w:val="20"/>
                <w:szCs w:val="20"/>
              </w:rPr>
            </w:pPr>
            <w:r w:rsidRPr="00E66A4A">
              <w:rPr>
                <w:rFonts w:ascii="Arial" w:eastAsia="Times New Roman" w:hAnsi="Arial" w:cs="Arial"/>
                <w:sz w:val="20"/>
                <w:szCs w:val="20"/>
              </w:rPr>
              <w:t>rs5112</w:t>
            </w:r>
          </w:p>
        </w:tc>
        <w:tc>
          <w:tcPr>
            <w:tcW w:w="1823" w:type="dxa"/>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44927023</w:t>
            </w:r>
          </w:p>
        </w:tc>
        <w:tc>
          <w:tcPr>
            <w:tcW w:w="3577" w:type="dxa"/>
            <w:tcBorders>
              <w:top w:val="single" w:sz="4" w:space="0" w:color="auto"/>
              <w:left w:val="nil"/>
              <w:bottom w:val="single" w:sz="12" w:space="0" w:color="auto"/>
              <w:right w:val="nil"/>
            </w:tcBorders>
            <w:shd w:val="clear" w:color="auto" w:fill="auto"/>
            <w:vAlign w:val="center"/>
            <w:hideMark/>
          </w:tcPr>
          <w:p w:rsidR="00E84D4B" w:rsidRPr="00E66A4A" w:rsidRDefault="00E84D4B" w:rsidP="001F6EEE">
            <w:pPr>
              <w:spacing w:after="0" w:line="240" w:lineRule="auto"/>
              <w:rPr>
                <w:rFonts w:ascii="Arial" w:eastAsia="Times New Roman" w:hAnsi="Arial" w:cs="Arial"/>
                <w:sz w:val="20"/>
                <w:szCs w:val="20"/>
              </w:rPr>
            </w:pPr>
            <w:r w:rsidRPr="00E66A4A">
              <w:rPr>
                <w:rFonts w:ascii="Arial" w:eastAsia="Times New Roman" w:hAnsi="Arial" w:cs="Arial"/>
                <w:sz w:val="20"/>
                <w:szCs w:val="20"/>
              </w:rPr>
              <w:t>intergenic (</w:t>
            </w:r>
            <w:r w:rsidRPr="00E66A4A">
              <w:rPr>
                <w:rFonts w:ascii="Arial" w:eastAsia="Times New Roman" w:hAnsi="Arial" w:cs="Arial"/>
                <w:i/>
                <w:iCs/>
                <w:sz w:val="20"/>
                <w:szCs w:val="20"/>
              </w:rPr>
              <w:t>APOE- APOC4</w:t>
            </w:r>
            <w:r w:rsidRPr="00E66A4A">
              <w:rPr>
                <w:rFonts w:ascii="Arial" w:eastAsia="Times New Roman" w:hAnsi="Arial" w:cs="Arial"/>
                <w:sz w:val="20"/>
                <w:szCs w:val="20"/>
              </w:rPr>
              <w:t xml:space="preserve">, </w:t>
            </w:r>
            <w:r w:rsidRPr="00E66A4A">
              <w:rPr>
                <w:rFonts w:ascii="Arial" w:eastAsia="Times New Roman" w:hAnsi="Arial" w:cs="Arial"/>
                <w:i/>
                <w:iCs/>
                <w:sz w:val="20"/>
                <w:szCs w:val="20"/>
              </w:rPr>
              <w:t>APOC2</w:t>
            </w:r>
            <w:r w:rsidRPr="00E66A4A">
              <w:rPr>
                <w:rFonts w:ascii="Arial" w:eastAsia="Times New Roman" w:hAnsi="Arial" w:cs="Arial"/>
                <w:sz w:val="20"/>
                <w:szCs w:val="20"/>
              </w:rPr>
              <w:t xml:space="preserve">), downstream of </w:t>
            </w:r>
            <w:r w:rsidRPr="00E66A4A">
              <w:rPr>
                <w:rFonts w:ascii="Arial" w:eastAsia="Times New Roman" w:hAnsi="Arial" w:cs="Arial"/>
                <w:i/>
                <w:iCs/>
                <w:sz w:val="20"/>
                <w:szCs w:val="20"/>
              </w:rPr>
              <w:t>APOE</w:t>
            </w:r>
          </w:p>
        </w:tc>
      </w:tr>
    </w:tbl>
    <w:p w:rsidR="00E84D4B" w:rsidRPr="0048552A" w:rsidRDefault="00E84D4B" w:rsidP="00E84D4B">
      <w:pPr>
        <w:rPr>
          <w:rFonts w:ascii="Arial" w:hAnsi="Arial" w:cs="Arial"/>
          <w:bCs/>
          <w:sz w:val="20"/>
          <w:szCs w:val="20"/>
        </w:rPr>
      </w:pPr>
      <w:r w:rsidRPr="0048552A">
        <w:rPr>
          <w:rFonts w:ascii="Arial" w:hAnsi="Arial" w:cs="Arial"/>
          <w:bCs/>
          <w:sz w:val="20"/>
          <w:szCs w:val="20"/>
        </w:rPr>
        <w:t xml:space="preserve"> Germline genomic DNA was extracted </w:t>
      </w:r>
      <w:r>
        <w:rPr>
          <w:rFonts w:ascii="Arial" w:hAnsi="Arial" w:cs="Arial"/>
          <w:bCs/>
          <w:sz w:val="20"/>
          <w:szCs w:val="20"/>
        </w:rPr>
        <w:t xml:space="preserve">at the Molecular Epidemiology Laboratory at MSK </w:t>
      </w:r>
      <w:r w:rsidRPr="0048552A">
        <w:rPr>
          <w:rFonts w:ascii="Arial" w:hAnsi="Arial" w:cs="Arial"/>
          <w:bCs/>
          <w:sz w:val="20"/>
          <w:szCs w:val="20"/>
        </w:rPr>
        <w:t>from blood collected in lavender top tubes (31%) or in PAXgene blood DNA tubes (47%), using the FlexiGene DNA kit and the PAXgene blood DNA kit, respectively, and following manufacturers’ recommendations. DNA was also extracted from buccal cells procured in Oragene OGR-500 vials (22%) using the PrepIT-L2P purifier (Genotek), and manufacturers’ recommendations, with an additional purification step. Total and double stranded DNAs were measured for quantity and quality with a Nanodrop ND800, a Qubit® 2.0 Fluorometer, and further assessed with a smear analysis to assess presence and extent of fragmentation or degradation.</w:t>
      </w:r>
    </w:p>
    <w:p w:rsidR="00E84D4B" w:rsidRPr="00DA30D7" w:rsidRDefault="00E84D4B" w:rsidP="00E84D4B">
      <w:pPr>
        <w:rPr>
          <w:rFonts w:ascii="Arial" w:eastAsia="Times New Roman" w:hAnsi="Arial" w:cs="Arial"/>
          <w:b/>
          <w:bCs/>
          <w:sz w:val="24"/>
          <w:szCs w:val="24"/>
        </w:rPr>
      </w:pPr>
      <w:r w:rsidRPr="00DA30D7">
        <w:rPr>
          <w:rFonts w:ascii="Arial" w:eastAsia="Times New Roman" w:hAnsi="Arial" w:cs="Arial"/>
          <w:b/>
          <w:bCs/>
          <w:sz w:val="24"/>
          <w:szCs w:val="24"/>
        </w:rPr>
        <w:t>Genotyping</w:t>
      </w:r>
    </w:p>
    <w:p w:rsidR="00E84D4B" w:rsidRPr="00B9781B" w:rsidRDefault="00E84D4B" w:rsidP="00E84D4B">
      <w:pPr>
        <w:rPr>
          <w:rFonts w:ascii="Arial" w:eastAsia="Times New Roman" w:hAnsi="Arial" w:cs="Arial"/>
          <w:sz w:val="20"/>
          <w:szCs w:val="20"/>
        </w:rPr>
      </w:pPr>
      <w:r w:rsidRPr="00B9781B">
        <w:rPr>
          <w:rFonts w:ascii="Arial" w:hAnsi="Arial" w:cs="Arial"/>
          <w:bCs/>
          <w:sz w:val="20"/>
          <w:szCs w:val="20"/>
        </w:rPr>
        <w:t xml:space="preserve">Bidirectional high-throughput sequencing was initially performed in the MSK Beene Core at MSK, then at GeneWiz, with the final set of samples run using low throughput methods at the MSK Integrated Genomics Operation (IGO) Core. </w:t>
      </w:r>
      <w:r>
        <w:rPr>
          <w:rFonts w:ascii="Arial" w:hAnsi="Arial" w:cs="Arial"/>
          <w:bCs/>
          <w:sz w:val="20"/>
          <w:szCs w:val="20"/>
        </w:rPr>
        <w:t xml:space="preserve">SNPs  </w:t>
      </w:r>
      <w:r w:rsidRPr="00E440E0">
        <w:rPr>
          <w:rFonts w:ascii="Arial" w:hAnsi="Arial" w:cs="Arial"/>
          <w:bCs/>
          <w:sz w:val="20"/>
          <w:szCs w:val="20"/>
        </w:rPr>
        <w:t>rs429358 (T&gt;C)</w:t>
      </w:r>
      <w:r>
        <w:rPr>
          <w:rFonts w:ascii="Arial" w:hAnsi="Arial" w:cs="Arial"/>
          <w:bCs/>
          <w:sz w:val="20"/>
          <w:szCs w:val="20"/>
        </w:rPr>
        <w:t xml:space="preserve"> and </w:t>
      </w:r>
      <w:r w:rsidRPr="00E440E0">
        <w:rPr>
          <w:rFonts w:ascii="Arial" w:hAnsi="Arial" w:cs="Arial"/>
          <w:bCs/>
          <w:sz w:val="20"/>
          <w:szCs w:val="20"/>
        </w:rPr>
        <w:t>rs7412 (C&gt;T</w:t>
      </w:r>
      <w:r>
        <w:rPr>
          <w:rFonts w:ascii="Arial" w:hAnsi="Arial" w:cs="Arial"/>
          <w:bCs/>
          <w:sz w:val="20"/>
          <w:szCs w:val="20"/>
        </w:rPr>
        <w:t>) were amplified in a fragment of 443bp using the following forward and reverse primers: 5’-</w:t>
      </w:r>
      <w:r w:rsidRPr="00E440E0">
        <w:rPr>
          <w:rFonts w:ascii="Arial" w:hAnsi="Arial" w:cs="Arial"/>
          <w:bCs/>
          <w:sz w:val="20"/>
          <w:szCs w:val="20"/>
        </w:rPr>
        <w:t>CGGAACTGGAGGAACAACT</w:t>
      </w:r>
      <w:r>
        <w:rPr>
          <w:rFonts w:ascii="Arial" w:hAnsi="Arial" w:cs="Arial"/>
          <w:bCs/>
          <w:sz w:val="20"/>
          <w:szCs w:val="20"/>
        </w:rPr>
        <w:t xml:space="preserve"> and 5’-</w:t>
      </w:r>
      <w:r w:rsidRPr="00E440E0">
        <w:rPr>
          <w:rFonts w:ascii="Arial" w:hAnsi="Arial" w:cs="Arial"/>
          <w:bCs/>
          <w:sz w:val="20"/>
          <w:szCs w:val="20"/>
        </w:rPr>
        <w:t xml:space="preserve"> CTGCCCATCTCCTCCATC</w:t>
      </w:r>
      <w:r>
        <w:rPr>
          <w:rFonts w:ascii="Arial" w:hAnsi="Arial" w:cs="Arial"/>
          <w:bCs/>
          <w:sz w:val="20"/>
          <w:szCs w:val="20"/>
        </w:rPr>
        <w:t xml:space="preserve">-3’. Additional </w:t>
      </w:r>
      <w:r w:rsidRPr="00B9781B">
        <w:rPr>
          <w:rFonts w:ascii="Arial" w:hAnsi="Arial" w:cs="Arial"/>
          <w:bCs/>
          <w:sz w:val="20"/>
          <w:szCs w:val="20"/>
        </w:rPr>
        <w:t xml:space="preserve">genetic variants </w:t>
      </w:r>
      <w:r>
        <w:rPr>
          <w:rFonts w:ascii="Arial" w:hAnsi="Arial" w:cs="Arial"/>
          <w:bCs/>
          <w:sz w:val="20"/>
          <w:szCs w:val="20"/>
        </w:rPr>
        <w:t>were captured as part of the high-throughput approach in amplicons amplified simultaneously. Primers used, SNPs captured, their</w:t>
      </w:r>
      <w:r w:rsidRPr="00B9781B">
        <w:rPr>
          <w:rFonts w:ascii="Arial" w:hAnsi="Arial" w:cs="Arial"/>
          <w:bCs/>
          <w:sz w:val="20"/>
          <w:szCs w:val="20"/>
        </w:rPr>
        <w:t xml:space="preserve"> chromosomal </w:t>
      </w:r>
      <w:r>
        <w:rPr>
          <w:rFonts w:ascii="Arial" w:hAnsi="Arial" w:cs="Arial"/>
          <w:bCs/>
          <w:sz w:val="20"/>
          <w:szCs w:val="20"/>
        </w:rPr>
        <w:t xml:space="preserve">and </w:t>
      </w:r>
      <w:r w:rsidRPr="00B9781B">
        <w:rPr>
          <w:rFonts w:ascii="Arial" w:hAnsi="Arial" w:cs="Arial"/>
          <w:bCs/>
          <w:sz w:val="20"/>
          <w:szCs w:val="20"/>
        </w:rPr>
        <w:t>relative positions as well as effect(s)</w:t>
      </w:r>
      <w:r>
        <w:rPr>
          <w:rFonts w:ascii="Arial" w:hAnsi="Arial" w:cs="Arial"/>
          <w:bCs/>
          <w:sz w:val="20"/>
          <w:szCs w:val="20"/>
        </w:rPr>
        <w:t xml:space="preserve"> on APOE</w:t>
      </w:r>
      <w:r w:rsidRPr="00B9781B">
        <w:rPr>
          <w:rFonts w:ascii="Arial" w:hAnsi="Arial" w:cs="Arial"/>
          <w:bCs/>
          <w:sz w:val="20"/>
          <w:szCs w:val="20"/>
        </w:rPr>
        <w:t xml:space="preserve"> are shown on </w:t>
      </w:r>
      <w:r w:rsidRPr="00B9781B">
        <w:rPr>
          <w:rFonts w:ascii="Arial" w:hAnsi="Arial" w:cs="Arial"/>
          <w:bCs/>
          <w:sz w:val="20"/>
          <w:szCs w:val="20"/>
          <w:u w:val="single"/>
        </w:rPr>
        <w:t>eTable 1</w:t>
      </w:r>
      <w:r w:rsidRPr="00B9781B">
        <w:rPr>
          <w:rFonts w:ascii="Arial" w:hAnsi="Arial" w:cs="Arial"/>
          <w:bCs/>
          <w:sz w:val="20"/>
          <w:szCs w:val="20"/>
        </w:rPr>
        <w:t>.</w:t>
      </w:r>
    </w:p>
    <w:p w:rsidR="00E84D4B" w:rsidRPr="00B9781B" w:rsidRDefault="00E84D4B" w:rsidP="00E84D4B">
      <w:pPr>
        <w:rPr>
          <w:rFonts w:ascii="Arial" w:hAnsi="Arial" w:cs="Arial"/>
          <w:b/>
          <w:sz w:val="24"/>
          <w:szCs w:val="24"/>
        </w:rPr>
      </w:pPr>
      <w:r w:rsidRPr="00B9781B">
        <w:rPr>
          <w:rFonts w:ascii="Arial" w:hAnsi="Arial" w:cs="Arial"/>
          <w:b/>
          <w:sz w:val="24"/>
          <w:szCs w:val="24"/>
        </w:rPr>
        <w:t>Quality Control procedures</w:t>
      </w:r>
    </w:p>
    <w:p w:rsidR="00E84D4B" w:rsidRDefault="00E84D4B" w:rsidP="00E84D4B">
      <w:pPr>
        <w:rPr>
          <w:rFonts w:ascii="Arial" w:hAnsi="Arial" w:cs="Arial"/>
          <w:bCs/>
          <w:sz w:val="20"/>
          <w:szCs w:val="20"/>
        </w:rPr>
      </w:pPr>
      <w:r w:rsidRPr="00B9781B">
        <w:rPr>
          <w:rFonts w:ascii="Arial" w:hAnsi="Arial" w:cs="Arial"/>
          <w:bCs/>
          <w:sz w:val="20"/>
          <w:szCs w:val="20"/>
        </w:rPr>
        <w:t>Quality assurance and quality control comprised the inclusion of laboratory controls with known genotypes, replicas, and other routine practices to ensure accuracy and reproducibility including the typing of samples with a SampleID assay (Agena Bioscience) to rule out cross contamination. To avoid false positives only point mutations supported by at least one bidirectional read pair were considered. All traces were reviewed and compared with a reference visually and with the DNAStar Lasergene and the SoftGenetics Mutation Surveyor software.</w:t>
      </w:r>
    </w:p>
    <w:p w:rsidR="00E84D4B" w:rsidRDefault="00E84D4B" w:rsidP="00E84D4B">
      <w:pPr>
        <w:rPr>
          <w:rFonts w:ascii="Arial" w:eastAsia="Times New Roman" w:hAnsi="Arial" w:cs="Arial"/>
          <w:b/>
          <w:bCs/>
          <w:sz w:val="24"/>
          <w:szCs w:val="24"/>
        </w:rPr>
      </w:pPr>
    </w:p>
    <w:p w:rsidR="00E84D4B" w:rsidRDefault="00E84D4B" w:rsidP="00E84D4B">
      <w:pPr>
        <w:rPr>
          <w:rFonts w:ascii="Arial" w:hAnsi="Arial" w:cs="Arial"/>
          <w:sz w:val="16"/>
          <w:szCs w:val="16"/>
        </w:rPr>
      </w:pPr>
      <w:r w:rsidRPr="00E66A4A">
        <w:rPr>
          <w:rFonts w:ascii="Arial" w:eastAsia="Times New Roman" w:hAnsi="Arial" w:cs="Arial"/>
          <w:b/>
          <w:bCs/>
          <w:sz w:val="24"/>
          <w:szCs w:val="24"/>
        </w:rPr>
        <w:lastRenderedPageBreak/>
        <w:t xml:space="preserve">eTable </w:t>
      </w:r>
      <w:r w:rsidRPr="00DA62CE">
        <w:rPr>
          <w:rFonts w:ascii="Arial" w:eastAsia="Times New Roman" w:hAnsi="Arial" w:cs="Arial"/>
          <w:b/>
          <w:bCs/>
          <w:sz w:val="24"/>
          <w:szCs w:val="24"/>
        </w:rPr>
        <w:t>1</w:t>
      </w:r>
      <w:r w:rsidRPr="00E66A4A">
        <w:rPr>
          <w:rFonts w:ascii="Arial" w:eastAsia="Times New Roman" w:hAnsi="Arial" w:cs="Arial"/>
          <w:b/>
          <w:bCs/>
          <w:sz w:val="24"/>
          <w:szCs w:val="24"/>
        </w:rPr>
        <w:t xml:space="preserve">. </w:t>
      </w:r>
      <w:r>
        <w:rPr>
          <w:rFonts w:ascii="Arial" w:eastAsia="Times New Roman" w:hAnsi="Arial" w:cs="Arial"/>
          <w:b/>
          <w:bCs/>
          <w:sz w:val="24"/>
          <w:szCs w:val="24"/>
        </w:rPr>
        <w:t xml:space="preserve">  Typing of APOE </w:t>
      </w:r>
      <w:r>
        <w:rPr>
          <w:rFonts w:ascii="Arial" w:eastAsia="Times New Roman" w:hAnsi="Arial" w:cs="Arial"/>
          <w:b/>
          <w:bCs/>
          <w:color w:val="000000"/>
          <w:sz w:val="24"/>
          <w:szCs w:val="24"/>
        </w:rPr>
        <w:t>epsilon (</w:t>
      </w:r>
      <w:r w:rsidRPr="00E440E0">
        <w:rPr>
          <w:rFonts w:ascii="Arial" w:eastAsia="Times New Roman" w:hAnsi="Arial" w:cs="Arial"/>
          <w:b/>
          <w:bCs/>
          <w:color w:val="000000"/>
          <w:sz w:val="24"/>
          <w:szCs w:val="24"/>
        </w:rPr>
        <w:sym w:font="Symbol" w:char="F065"/>
      </w:r>
      <w:r>
        <w:rPr>
          <w:rFonts w:ascii="Arial" w:eastAsia="Times New Roman" w:hAnsi="Arial" w:cs="Arial"/>
          <w:b/>
          <w:bCs/>
          <w:color w:val="000000"/>
          <w:sz w:val="24"/>
          <w:szCs w:val="24"/>
        </w:rPr>
        <w:t xml:space="preserve">) isoforms through </w:t>
      </w:r>
      <w:r w:rsidRPr="00E440E0">
        <w:rPr>
          <w:rFonts w:ascii="Arial" w:eastAsia="Times New Roman" w:hAnsi="Arial" w:cs="Arial"/>
          <w:b/>
          <w:bCs/>
          <w:i/>
          <w:iCs/>
          <w:color w:val="000000"/>
          <w:sz w:val="24"/>
          <w:szCs w:val="24"/>
        </w:rPr>
        <w:t>APOE</w:t>
      </w:r>
      <w:r>
        <w:rPr>
          <w:rFonts w:ascii="Arial" w:eastAsia="Times New Roman" w:hAnsi="Arial" w:cs="Arial"/>
          <w:b/>
          <w:bCs/>
          <w:color w:val="000000"/>
          <w:sz w:val="24"/>
          <w:szCs w:val="24"/>
        </w:rPr>
        <w:t xml:space="preserve"> sequencing</w:t>
      </w:r>
    </w:p>
    <w:p w:rsidR="00E84D4B" w:rsidRPr="00E66A4A" w:rsidRDefault="00E84D4B" w:rsidP="00E84D4B">
      <w:pPr>
        <w:ind w:right="450"/>
        <w:rPr>
          <w:rFonts w:ascii="Arial" w:hAnsi="Arial" w:cs="Arial"/>
          <w:sz w:val="16"/>
          <w:szCs w:val="16"/>
        </w:rPr>
      </w:pPr>
      <w:r w:rsidRPr="006E3E81">
        <w:rPr>
          <w:rFonts w:ascii="Arial" w:eastAsia="Times New Roman" w:hAnsi="Arial" w:cs="Arial"/>
          <w:sz w:val="16"/>
          <w:szCs w:val="16"/>
        </w:rPr>
        <w:t>Abbreviations: bp, base pairs; RefSeq, curated reference sequence identifier.</w:t>
      </w:r>
      <w:r>
        <w:rPr>
          <w:rFonts w:ascii="Arial" w:eastAsia="Times New Roman" w:hAnsi="Arial" w:cs="Arial"/>
          <w:sz w:val="16"/>
          <w:szCs w:val="16"/>
        </w:rPr>
        <w:t xml:space="preserve"> </w:t>
      </w:r>
      <w:r w:rsidRPr="006E3E81">
        <w:rPr>
          <w:rFonts w:ascii="Arial" w:eastAsia="Times New Roman" w:hAnsi="Arial" w:cs="Arial"/>
          <w:sz w:val="16"/>
          <w:szCs w:val="16"/>
        </w:rPr>
        <w:t xml:space="preserve"> </w:t>
      </w:r>
      <w:r w:rsidRPr="006E3E81">
        <w:rPr>
          <w:rFonts w:ascii="Arial" w:eastAsia="Times New Roman" w:hAnsi="Arial" w:cs="Arial"/>
          <w:b/>
          <w:bCs/>
          <w:sz w:val="16"/>
          <w:szCs w:val="16"/>
          <w:vertAlign w:val="superscript"/>
        </w:rPr>
        <w:t>a</w:t>
      </w:r>
      <w:r w:rsidRPr="006E3E81">
        <w:rPr>
          <w:rFonts w:ascii="Arial" w:eastAsia="Times New Roman" w:hAnsi="Arial" w:cs="Arial"/>
          <w:i/>
          <w:iCs/>
          <w:sz w:val="16"/>
          <w:szCs w:val="16"/>
        </w:rPr>
        <w:t>APOE</w:t>
      </w:r>
      <w:r w:rsidRPr="006E3E81">
        <w:rPr>
          <w:rFonts w:ascii="Arial" w:eastAsia="Times New Roman" w:hAnsi="Arial" w:cs="Arial"/>
          <w:sz w:val="16"/>
          <w:szCs w:val="16"/>
        </w:rPr>
        <w:t xml:space="preserve"> polymorphisms with reported associations in this study are denoted in bold font, with major (more) and minor (less) prevalent alleles retrieved from dbSNP for European or African populations. </w:t>
      </w:r>
      <w:r w:rsidRPr="006E3E81">
        <w:rPr>
          <w:rFonts w:ascii="Arial" w:eastAsia="Times New Roman" w:hAnsi="Arial" w:cs="Arial"/>
          <w:b/>
          <w:bCs/>
          <w:sz w:val="16"/>
          <w:szCs w:val="16"/>
          <w:vertAlign w:val="superscript"/>
        </w:rPr>
        <w:t>b</w:t>
      </w:r>
      <w:r w:rsidRPr="006E3E81">
        <w:rPr>
          <w:rFonts w:ascii="Arial" w:eastAsia="Times New Roman" w:hAnsi="Arial" w:cs="Arial"/>
          <w:sz w:val="16"/>
          <w:szCs w:val="16"/>
        </w:rPr>
        <w:t xml:space="preserve">Position retrieved from the assembly of the human genome GRCh38.p13; </w:t>
      </w:r>
      <w:r w:rsidRPr="006E3E81">
        <w:rPr>
          <w:rFonts w:ascii="Arial" w:eastAsia="Times New Roman" w:hAnsi="Arial" w:cs="Arial"/>
          <w:b/>
          <w:bCs/>
          <w:sz w:val="16"/>
          <w:szCs w:val="16"/>
          <w:vertAlign w:val="superscript"/>
        </w:rPr>
        <w:t>c</w:t>
      </w:r>
      <w:r w:rsidRPr="006E3E81">
        <w:rPr>
          <w:rFonts w:ascii="Arial" w:eastAsia="Times New Roman" w:hAnsi="Arial" w:cs="Arial"/>
          <w:sz w:val="16"/>
          <w:szCs w:val="16"/>
        </w:rPr>
        <w:t xml:space="preserve">Location and effect relative to the </w:t>
      </w:r>
      <w:r w:rsidRPr="006E3E81">
        <w:rPr>
          <w:rFonts w:ascii="Arial" w:eastAsia="Times New Roman" w:hAnsi="Arial" w:cs="Arial"/>
          <w:i/>
          <w:iCs/>
          <w:sz w:val="16"/>
          <w:szCs w:val="16"/>
        </w:rPr>
        <w:t>APOE</w:t>
      </w:r>
      <w:r w:rsidRPr="006E3E81">
        <w:rPr>
          <w:rFonts w:ascii="Arial" w:eastAsia="Times New Roman" w:hAnsi="Arial" w:cs="Arial"/>
          <w:sz w:val="16"/>
          <w:szCs w:val="16"/>
        </w:rPr>
        <w:t xml:space="preserve"> gene; publicly available data retrieved last October 2021.</w:t>
      </w:r>
    </w:p>
    <w:p w:rsidR="00E84D4B" w:rsidRDefault="00E84D4B" w:rsidP="00E84D4B">
      <w:pPr>
        <w:pStyle w:val="NoSpacing"/>
        <w:spacing w:line="360" w:lineRule="auto"/>
      </w:pPr>
    </w:p>
    <w:p w:rsidR="00F87779" w:rsidRDefault="00F87779">
      <w:bookmarkStart w:id="1" w:name="_GoBack"/>
      <w:bookmarkEnd w:id="1"/>
    </w:p>
    <w:sectPr w:rsidR="00F87779" w:rsidSect="00B13EF6">
      <w:footerReference w:type="even" r:id="rId5"/>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17" w:rsidRDefault="00E84D4B" w:rsidP="005529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33217" w:rsidRDefault="00E84D4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17" w:rsidRDefault="00E84D4B" w:rsidP="005529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833217" w:rsidRDefault="00E84D4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D4B"/>
    <w:rsid w:val="00E84D4B"/>
    <w:rsid w:val="00ED32FE"/>
    <w:rsid w:val="00F877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708D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D4B"/>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D4B"/>
    <w:rPr>
      <w:rFonts w:eastAsiaTheme="minorHAnsi"/>
      <w:sz w:val="22"/>
      <w:szCs w:val="22"/>
    </w:rPr>
  </w:style>
  <w:style w:type="paragraph" w:styleId="Footer">
    <w:name w:val="footer"/>
    <w:basedOn w:val="Normal"/>
    <w:link w:val="FooterChar"/>
    <w:uiPriority w:val="99"/>
    <w:unhideWhenUsed/>
    <w:rsid w:val="00E84D4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84D4B"/>
    <w:rPr>
      <w:rFonts w:eastAsiaTheme="minorHAnsi"/>
      <w:sz w:val="22"/>
      <w:szCs w:val="22"/>
    </w:rPr>
  </w:style>
  <w:style w:type="character" w:styleId="PageNumber">
    <w:name w:val="page number"/>
    <w:basedOn w:val="DefaultParagraphFont"/>
    <w:uiPriority w:val="99"/>
    <w:semiHidden/>
    <w:unhideWhenUsed/>
    <w:rsid w:val="00E84D4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D4B"/>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D4B"/>
    <w:rPr>
      <w:rFonts w:eastAsiaTheme="minorHAnsi"/>
      <w:sz w:val="22"/>
      <w:szCs w:val="22"/>
    </w:rPr>
  </w:style>
  <w:style w:type="paragraph" w:styleId="Footer">
    <w:name w:val="footer"/>
    <w:basedOn w:val="Normal"/>
    <w:link w:val="FooterChar"/>
    <w:uiPriority w:val="99"/>
    <w:unhideWhenUsed/>
    <w:rsid w:val="00E84D4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84D4B"/>
    <w:rPr>
      <w:rFonts w:eastAsiaTheme="minorHAnsi"/>
      <w:sz w:val="22"/>
      <w:szCs w:val="22"/>
    </w:rPr>
  </w:style>
  <w:style w:type="character" w:styleId="PageNumber">
    <w:name w:val="page number"/>
    <w:basedOn w:val="DefaultParagraphFont"/>
    <w:uiPriority w:val="99"/>
    <w:semiHidden/>
    <w:unhideWhenUsed/>
    <w:rsid w:val="00E84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453</Words>
  <Characters>2585</Characters>
  <Application>Microsoft Macintosh Word</Application>
  <DocSecurity>0</DocSecurity>
  <Lines>21</Lines>
  <Paragraphs>6</Paragraphs>
  <ScaleCrop>false</ScaleCrop>
  <Company>MSKCC</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dc:creator>
  <cp:keywords/>
  <dc:description/>
  <cp:lastModifiedBy>tim</cp:lastModifiedBy>
  <cp:revision>1</cp:revision>
  <dcterms:created xsi:type="dcterms:W3CDTF">2021-11-15T16:58:00Z</dcterms:created>
  <dcterms:modified xsi:type="dcterms:W3CDTF">2021-11-15T16:59:00Z</dcterms:modified>
</cp:coreProperties>
</file>