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t>Table S1. </w:t>
      </w:r>
      <w:r>
        <w:rPr>
          <w:sz w:val="20"/>
        </w:rPr>
        <w:t xml:space="preserve"> 50 selected gene probes.</w:t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675"/>
      </w:tblGrid>
      <w:tr>
        <w:tc>
          <w:tcPr>
            <w:tcW w:w="467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Probe</w:t>
            </w:r>
          </w:p>
        </w:tc>
        <w:tc>
          <w:tcPr>
            <w:tcW w:w="467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Gene</w:t>
            </w:r>
          </w:p>
        </w:tc>
      </w:tr>
      <w:tr>
        <w:tc>
          <w:tcPr>
            <w:tcW w:w="4675" w:type="dxa"/>
            <w:tcBorders>
              <w:top w:val="single" w:color="auto" w:sz="4" w:space="0"/>
            </w:tcBorders>
            <w:vAlign w:val="bottom"/>
          </w:tcPr>
          <w:p>
            <w:pPr>
              <w:pStyle w:val="10"/>
            </w:pPr>
            <w:r>
              <w:t>8156228</w:t>
            </w:r>
          </w:p>
        </w:tc>
        <w:tc>
          <w:tcPr>
            <w:tcW w:w="4675" w:type="dxa"/>
            <w:tcBorders>
              <w:top w:val="single" w:color="auto" w:sz="4" w:space="0"/>
            </w:tcBorders>
            <w:vAlign w:val="bottom"/>
          </w:tcPr>
          <w:p>
            <w:pPr>
              <w:pStyle w:val="10"/>
            </w:pPr>
            <w:r>
              <w:t>CTSL1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8051066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MPV17, MPV17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8028652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ZFP36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7952325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HSPA8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8179827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CLIC1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7948606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C11orf10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8101322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MOP-1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8138466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MACC1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8146216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VDAC3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7985166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IREB2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8178891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HLA-DPA1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8041015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SLC4A1AP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8156538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HIATL1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8125556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HLA-DPA1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7989735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CLPX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7904726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TXNIP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8115831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DUSP1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7978905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RN7SL2, RN7SL1</w:t>
            </w:r>
          </w:p>
        </w:tc>
      </w:tr>
      <w:tr>
        <w:tc>
          <w:tcPr>
            <w:tcW w:w="4675" w:type="dxa"/>
            <w:vAlign w:val="bottom"/>
          </w:tcPr>
          <w:p>
            <w:pPr>
              <w:pStyle w:val="10"/>
            </w:pPr>
            <w:r>
              <w:t>8117800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HLA-B, HLA-A, HLA-A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8088526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THOC7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8046604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AGPS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7934196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PSAP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7905571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S100A9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7965812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GNPTAB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8178435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IER3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8054611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LOC541471, LINC00152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8112033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ARL15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8068593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ETS2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8114861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LARS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7953385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GAPDH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8043363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LOC541471, LINC00152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8071649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LOC96610, BMS1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7985662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PDE8A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7933084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NAMPT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8056201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RBMS1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8069541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SAMSN1, SAMSN1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8154531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DENND4C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8177732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HLA-B, HLA-A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7961142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OLR1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8166469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SAT1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7954997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ANO6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7903507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FAM102B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7935776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SCD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7968344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ALOX5AP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7960865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SLC2A3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7963046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TUBA1B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8131844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GPNMB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7962085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IPO8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vAlign w:val="bottom"/>
          </w:tcPr>
          <w:p>
            <w:pPr>
              <w:pStyle w:val="10"/>
            </w:pPr>
            <w:r>
              <w:t>8040386</w:t>
            </w:r>
          </w:p>
        </w:tc>
        <w:tc>
          <w:tcPr>
            <w:tcW w:w="4675" w:type="dxa"/>
            <w:vAlign w:val="bottom"/>
          </w:tcPr>
          <w:p>
            <w:pPr>
              <w:pStyle w:val="10"/>
            </w:pPr>
            <w:r>
              <w:t>DDX1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675" w:type="dxa"/>
            <w:tcBorders>
              <w:bottom w:val="single" w:color="auto" w:sz="4" w:space="0"/>
            </w:tcBorders>
            <w:vAlign w:val="bottom"/>
          </w:tcPr>
          <w:p>
            <w:pPr>
              <w:pStyle w:val="10"/>
            </w:pPr>
            <w:r>
              <w:t>7981722</w:t>
            </w:r>
          </w:p>
        </w:tc>
        <w:tc>
          <w:tcPr>
            <w:tcW w:w="4675" w:type="dxa"/>
            <w:tcBorders>
              <w:bottom w:val="single" w:color="auto" w:sz="4" w:space="0"/>
            </w:tcBorders>
            <w:vAlign w:val="bottom"/>
          </w:tcPr>
          <w:p>
            <w:pPr>
              <w:pStyle w:val="10"/>
            </w:pPr>
            <w:r>
              <w:t>IGHG1, IGHA1, IGHV3-48</w:t>
            </w:r>
          </w:p>
        </w:tc>
      </w:tr>
    </w:tbl>
    <w:p>
      <w:pPr>
        <w:pStyle w:val="10"/>
      </w:pPr>
    </w:p>
    <w:p>
      <w:pPr>
        <w:spacing w:line="240" w:lineRule="auto"/>
        <w:rPr>
          <w:b/>
          <w:bCs/>
        </w:rPr>
      </w:pPr>
    </w:p>
    <w:p>
      <w:pPr>
        <w:spacing w:line="240" w:lineRule="auto"/>
        <w:rPr>
          <w:b/>
          <w:bCs/>
        </w:rPr>
      </w:pPr>
    </w:p>
    <w:p>
      <w:pPr>
        <w:spacing w:line="240" w:lineRule="auto"/>
        <w:rPr>
          <w:b/>
          <w:bCs/>
        </w:rPr>
      </w:pPr>
    </w:p>
    <w:p>
      <w:pPr>
        <w:spacing w:line="240" w:lineRule="auto"/>
        <w:rPr>
          <w:b/>
          <w:bCs/>
        </w:rPr>
      </w:pPr>
    </w:p>
    <w:p>
      <w:pPr>
        <w:spacing w:line="240" w:lineRule="auto"/>
        <w:rPr>
          <w:b/>
          <w:bCs/>
        </w:rPr>
      </w:pP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t>Table S2. </w:t>
      </w:r>
      <w:r>
        <w:rPr>
          <w:sz w:val="20"/>
        </w:rPr>
        <w:t>Support Vector Regression results (MSE and variance explained).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224"/>
        <w:gridCol w:w="1224"/>
        <w:gridCol w:w="1224"/>
        <w:gridCol w:w="1224"/>
        <w:gridCol w:w="1224"/>
      </w:tblGrid>
      <w:tr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Traits (mean)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DEG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H.var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H.sig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top.genes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top.genes.selected</w:t>
            </w:r>
          </w:p>
        </w:tc>
      </w:tr>
      <w:tr>
        <w:tc>
          <w:tcPr>
            <w:tcW w:w="1440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POST FEV1/FVC</w:t>
            </w:r>
          </w:p>
          <w:p>
            <w:pPr>
              <w:pStyle w:val="10"/>
            </w:pPr>
            <w:r>
              <w:t>(0.7288)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0.0168</w:t>
            </w:r>
          </w:p>
          <w:p>
            <w:pPr>
              <w:pStyle w:val="10"/>
            </w:pPr>
            <w:r>
              <w:t>(-0.147)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0.0151</w:t>
            </w:r>
          </w:p>
          <w:p>
            <w:pPr>
              <w:pStyle w:val="10"/>
            </w:pPr>
            <w:r>
              <w:t>(-0.0502)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0.0138</w:t>
            </w:r>
          </w:p>
          <w:p>
            <w:pPr>
              <w:pStyle w:val="10"/>
            </w:pPr>
            <w:r>
              <w:t>(0.0556)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0.0119</w:t>
            </w:r>
          </w:p>
          <w:p>
            <w:pPr>
              <w:pStyle w:val="10"/>
            </w:pPr>
            <w:r>
              <w:t>(0.1828)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0.0116</w:t>
            </w:r>
          </w:p>
          <w:p>
            <w:pPr>
              <w:pStyle w:val="10"/>
            </w:pPr>
            <w:r>
              <w:t>(0.1909)</w:t>
            </w:r>
          </w:p>
        </w:tc>
      </w:tr>
      <w:tr>
        <w:tc>
          <w:tcPr>
            <w:tcW w:w="1440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PRE FEV1/FVC</w:t>
            </w:r>
          </w:p>
          <w:p>
            <w:pPr>
              <w:pStyle w:val="10"/>
            </w:pPr>
            <w:r>
              <w:t>(0.6976)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0.0169</w:t>
            </w:r>
          </w:p>
          <w:p>
            <w:pPr>
              <w:pStyle w:val="10"/>
            </w:pPr>
            <w:r>
              <w:t>(-0.0865)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0.0166</w:t>
            </w:r>
          </w:p>
          <w:p>
            <w:pPr>
              <w:pStyle w:val="10"/>
            </w:pPr>
            <w:r>
              <w:t>(-0.1414)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0.0147</w:t>
            </w:r>
          </w:p>
          <w:p>
            <w:pPr>
              <w:pStyle w:val="10"/>
            </w:pPr>
            <w:r>
              <w:t>(-0.0157)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0.0122</w:t>
            </w:r>
          </w:p>
          <w:p>
            <w:pPr>
              <w:pStyle w:val="10"/>
            </w:pPr>
            <w:r>
              <w:t>(0.1426)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0.0122</w:t>
            </w:r>
          </w:p>
          <w:p>
            <w:pPr>
              <w:pStyle w:val="10"/>
            </w:pPr>
            <w:r>
              <w:t>(0.1522)</w:t>
            </w:r>
          </w:p>
        </w:tc>
      </w:tr>
    </w:tbl>
    <w:p/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t>Table S3. </w:t>
      </w:r>
      <w:r>
        <w:rPr>
          <w:sz w:val="20"/>
        </w:rPr>
        <w:t xml:space="preserve"> LASSO results (MSE and variance explained).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224"/>
        <w:gridCol w:w="1224"/>
        <w:gridCol w:w="1224"/>
        <w:gridCol w:w="1224"/>
        <w:gridCol w:w="1224"/>
      </w:tblGrid>
      <w:tr>
        <w:tc>
          <w:tcPr>
            <w:tcW w:w="14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Traits (mean)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DEG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H.var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H.sig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top.genes</w:t>
            </w:r>
          </w:p>
        </w:tc>
        <w:tc>
          <w:tcPr>
            <w:tcW w:w="122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0"/>
              <w:rPr>
                <w:b/>
              </w:rPr>
            </w:pPr>
            <w:r>
              <w:rPr>
                <w:b/>
              </w:rPr>
              <w:t>top.genes.selected</w:t>
            </w:r>
          </w:p>
        </w:tc>
      </w:tr>
      <w:tr>
        <w:tc>
          <w:tcPr>
            <w:tcW w:w="1440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POST FEV1/FVC</w:t>
            </w:r>
          </w:p>
          <w:p>
            <w:pPr>
              <w:pStyle w:val="10"/>
            </w:pPr>
            <w:r>
              <w:t>(0.7288)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0.0154</w:t>
            </w:r>
          </w:p>
          <w:p>
            <w:pPr>
              <w:pStyle w:val="10"/>
            </w:pPr>
            <w:r>
              <w:t>(-0.0864)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0.0139</w:t>
            </w:r>
          </w:p>
          <w:p>
            <w:pPr>
              <w:pStyle w:val="10"/>
            </w:pPr>
            <w:r>
              <w:t>(0.0227)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0.0135</w:t>
            </w:r>
          </w:p>
          <w:p>
            <w:pPr>
              <w:pStyle w:val="10"/>
            </w:pPr>
            <w:r>
              <w:t>(0.0563)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0.0128</w:t>
            </w:r>
          </w:p>
          <w:p>
            <w:pPr>
              <w:pStyle w:val="10"/>
            </w:pPr>
            <w:r>
              <w:t>(0.0569)</w:t>
            </w:r>
          </w:p>
        </w:tc>
        <w:tc>
          <w:tcPr>
            <w:tcW w:w="1224" w:type="dxa"/>
            <w:tcBorders>
              <w:top w:val="single" w:color="auto" w:sz="4" w:space="0"/>
            </w:tcBorders>
          </w:tcPr>
          <w:p>
            <w:pPr>
              <w:pStyle w:val="10"/>
            </w:pPr>
            <w:r>
              <w:t>0.0121</w:t>
            </w:r>
          </w:p>
          <w:p>
            <w:pPr>
              <w:pStyle w:val="10"/>
            </w:pPr>
            <w:r>
              <w:t>(0.134)</w:t>
            </w:r>
          </w:p>
        </w:tc>
      </w:tr>
      <w:tr>
        <w:tc>
          <w:tcPr>
            <w:tcW w:w="1440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PRE FEV1/FVC</w:t>
            </w:r>
          </w:p>
          <w:p>
            <w:pPr>
              <w:pStyle w:val="10"/>
            </w:pPr>
            <w:r>
              <w:t>(0.6976)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0.0154</w:t>
            </w:r>
          </w:p>
          <w:p>
            <w:pPr>
              <w:pStyle w:val="10"/>
            </w:pPr>
            <w:r>
              <w:t>(-0.0835)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0.0141</w:t>
            </w:r>
          </w:p>
          <w:p>
            <w:pPr>
              <w:pStyle w:val="10"/>
            </w:pPr>
            <w:r>
              <w:t>(0.0004)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0.0139</w:t>
            </w:r>
          </w:p>
          <w:p>
            <w:pPr>
              <w:pStyle w:val="10"/>
            </w:pPr>
            <w:r>
              <w:t>(0.0284)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0.0138</w:t>
            </w:r>
          </w:p>
          <w:p>
            <w:pPr>
              <w:pStyle w:val="10"/>
            </w:pPr>
            <w:r>
              <w:t>(-0.008)</w:t>
            </w:r>
          </w:p>
        </w:tc>
        <w:tc>
          <w:tcPr>
            <w:tcW w:w="1224" w:type="dxa"/>
            <w:tcBorders>
              <w:bottom w:val="single" w:color="auto" w:sz="4" w:space="0"/>
            </w:tcBorders>
          </w:tcPr>
          <w:p>
            <w:pPr>
              <w:pStyle w:val="10"/>
            </w:pPr>
            <w:r>
              <w:t>0.0130</w:t>
            </w:r>
          </w:p>
          <w:p>
            <w:pPr>
              <w:pStyle w:val="10"/>
            </w:pPr>
            <w:r>
              <w:t>(0.071)</w:t>
            </w:r>
          </w:p>
        </w:tc>
      </w:tr>
    </w:tbl>
    <w:p/>
    <w:p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</w:p>
    <w:p>
      <w:pPr>
        <w:spacing w:line="240" w:lineRule="auto"/>
        <w:rPr>
          <w:b/>
          <w:bCs/>
        </w:rPr>
      </w:pPr>
    </w:p>
    <w:p>
      <w:pPr>
        <w:spacing w:line="240" w:lineRule="auto"/>
        <w:rPr>
          <w:b/>
          <w:bCs/>
        </w:rPr>
      </w:pPr>
    </w:p>
    <w:p>
      <w:pPr>
        <w:spacing w:line="240" w:lineRule="auto"/>
      </w:pPr>
      <w:r>
        <w:drawing>
          <wp:inline distT="0" distB="0" distL="0" distR="0">
            <wp:extent cx="5410835" cy="405828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056" cy="405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t>Fig S1. </w:t>
      </w:r>
      <w:r>
        <w:rPr>
          <w:sz w:val="20"/>
        </w:rPr>
        <w:t xml:space="preserve"> Convergence of the</w:t>
      </w:r>
      <w:r>
        <w:rPr>
          <w:sz w:val="20"/>
        </w:rPr>
        <w:t xml:space="preserve"> average</w:t>
      </w:r>
      <w:r>
        <w:rPr>
          <w:sz w:val="20"/>
        </w:rPr>
        <w:t xml:space="preserve"> training and test l</w:t>
      </w:r>
      <w:bookmarkStart w:id="0" w:name="_GoBack"/>
      <w:bookmarkEnd w:id="0"/>
      <w:r>
        <w:rPr>
          <w:sz w:val="20"/>
        </w:rPr>
        <w:t>oss.</w:t>
      </w:r>
    </w:p>
    <w:p>
      <w:pPr>
        <w:spacing w:line="240" w:lineRule="auto"/>
        <w:rPr>
          <w:szCs w:val="20"/>
        </w:rPr>
      </w:pPr>
    </w:p>
    <w:p>
      <w:pPr>
        <w:spacing w:line="240" w:lineRule="auto"/>
        <w:rPr>
          <w:b/>
          <w:bCs/>
          <w:szCs w:val="20"/>
        </w:rPr>
      </w:pPr>
      <w:r>
        <w:rPr>
          <w:szCs w:val="20"/>
        </w:rPr>
        <w:br w:type="page"/>
      </w:r>
      <w:r>
        <w:rPr>
          <w:b/>
          <w:bCs/>
          <w:szCs w:val="20"/>
        </w:rPr>
        <w:drawing>
          <wp:inline distT="0" distB="0" distL="0" distR="0">
            <wp:extent cx="4705350" cy="47053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5850" cy="470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t>Fig S2. </w:t>
      </w:r>
      <w:r>
        <w:rPr>
          <w:sz w:val="20"/>
        </w:rPr>
        <w:t xml:space="preserve"> Convergence of</w:t>
      </w:r>
      <w:r>
        <w:rPr>
          <w:sz w:val="20"/>
        </w:rPr>
        <w:t xml:space="preserve"> </w:t>
      </w:r>
      <w:r>
        <w:rPr>
          <w:sz w:val="20"/>
        </w:rPr>
        <w:t>cross validation</w:t>
      </w:r>
      <w:r>
        <w:rPr>
          <w:sz w:val="20"/>
        </w:rPr>
        <w:t xml:space="preserve"> with 10 repeats</w:t>
      </w:r>
      <w:r>
        <w:rPr>
          <w:sz w:val="20"/>
        </w:rPr>
        <w:t>.</w:t>
      </w:r>
    </w:p>
    <w:p>
      <w:pPr>
        <w:spacing w:line="240" w:lineRule="auto"/>
        <w:rPr>
          <w:szCs w:val="20"/>
        </w:rPr>
      </w:pPr>
      <w:r>
        <w:rPr>
          <w:szCs w:val="20"/>
        </w:rPr>
        <w:br w:type="page"/>
      </w:r>
      <w:r>
        <w:rPr>
          <w:szCs w:val="20"/>
        </w:rPr>
        <w:drawing>
          <wp:inline distT="0" distB="0" distL="0" distR="0">
            <wp:extent cx="5943600" cy="559943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9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szCs w:val="20"/>
        </w:rPr>
      </w:pPr>
      <w:r>
        <w:rPr>
          <w:b/>
          <w:bCs/>
          <w:szCs w:val="20"/>
        </w:rPr>
        <w:t>Fig S3.</w:t>
      </w:r>
      <w:r>
        <w:rPr>
          <w:szCs w:val="20"/>
        </w:rPr>
        <w:t xml:space="preserve"> Selection of number of hidden units based on test error.</w:t>
      </w:r>
    </w:p>
    <w:p>
      <w:pPr>
        <w:spacing w:line="240" w:lineRule="auto"/>
        <w:rPr>
          <w:rFonts w:ascii="Times New Roman" w:hAnsi="Times New Roman"/>
          <w:szCs w:val="20"/>
        </w:rPr>
      </w:pPr>
    </w:p>
    <w:p>
      <w:pPr>
        <w:spacing w:line="240" w:lineRule="auto"/>
        <w:rPr>
          <w:b/>
          <w:bCs/>
          <w:szCs w:val="20"/>
        </w:rPr>
      </w:pPr>
    </w:p>
    <w:p>
      <w:pPr>
        <w:spacing w:line="240" w:lineRule="auto"/>
        <w:rPr>
          <w:b/>
          <w:bCs/>
          <w:szCs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-1525905</wp:posOffset>
            </wp:positionV>
            <wp:extent cx="5943600" cy="185801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Fig S4. </w:t>
      </w:r>
      <w:r>
        <w:rPr>
          <w:sz w:val="20"/>
        </w:rPr>
        <w:t xml:space="preserve"> Demographics of the TEA clusters.</w:t>
      </w:r>
    </w:p>
    <w:p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b/>
          <w:bCs/>
          <w:szCs w:val="20"/>
        </w:rPr>
        <w:br w:type="page"/>
      </w: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-3235325</wp:posOffset>
            </wp:positionV>
            <wp:extent cx="5943600" cy="356616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Fig S5. </w:t>
      </w:r>
      <w:r>
        <w:rPr>
          <w:sz w:val="20"/>
        </w:rPr>
        <w:t xml:space="preserve"> Spearman correlation between hidden unit values and TEA cluster labels. </w:t>
      </w:r>
    </w:p>
    <w:p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b/>
          <w:bCs/>
          <w:szCs w:val="20"/>
        </w:rPr>
        <w:br w:type="page"/>
      </w:r>
    </w:p>
    <w:p>
      <w:pPr>
        <w:pStyle w:val="9"/>
        <w:spacing w:before="360"/>
        <w:rPr>
          <w:b/>
          <w:bCs/>
          <w:sz w:val="20"/>
        </w:rPr>
      </w:pPr>
      <w:r>
        <w:rPr>
          <w:b/>
          <w:bCs/>
          <w:sz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92090" cy="748982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7489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</w:t>
      </w: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b/>
          <w:bCs/>
          <w:sz w:val="20"/>
        </w:rPr>
      </w:pP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t>Fig S6. </w:t>
      </w:r>
      <w:r>
        <w:rPr>
          <w:sz w:val="20"/>
        </w:rPr>
        <w:t xml:space="preserve"> GSEA results of two sample hidden units using encoder weights, H26 from the negative set and H38 from the positive set.</w:t>
      </w:r>
    </w:p>
    <w:p>
      <w:pPr>
        <w:spacing w:line="240" w:lineRule="auto"/>
      </w:pPr>
      <w:r>
        <w:drawing>
          <wp:inline distT="0" distB="0" distL="0" distR="0">
            <wp:extent cx="4140200" cy="666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t>Fig S7. </w:t>
      </w:r>
      <w:r>
        <w:rPr>
          <w:sz w:val="20"/>
        </w:rPr>
        <w:t xml:space="preserve"> Gene set enrichment of asthma pathway from KEGG (KEGG_ASTHMA) for H27, H36 and H45</w:t>
      </w:r>
    </w:p>
    <w:p>
      <w:pPr>
        <w:spacing w:line="240" w:lineRule="auto"/>
        <w:rPr>
          <w:rFonts w:ascii="Times New Roman" w:hAnsi="Times New Roman"/>
          <w:szCs w:val="20"/>
        </w:rPr>
      </w:pPr>
      <w:r>
        <w:br w:type="page"/>
      </w:r>
    </w:p>
    <w:p>
      <w:pPr>
        <w:pStyle w:val="9"/>
        <w:spacing w:before="360"/>
        <w:rPr>
          <w:sz w:val="20"/>
        </w:rPr>
      </w:pP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-5763895</wp:posOffset>
            </wp:positionV>
            <wp:extent cx="5943600" cy="609346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9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>Fig S8. </w:t>
      </w:r>
      <w:r>
        <w:rPr>
          <w:sz w:val="20"/>
        </w:rPr>
        <w:t xml:space="preserve"> GSEA results of two sample hidden units using encoder weights, H26 from the negative set and H38 from the positive set.</w:t>
      </w:r>
    </w:p>
    <w:p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b/>
          <w:bCs/>
          <w:szCs w:val="20"/>
        </w:rPr>
        <w:br w:type="page"/>
      </w: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815330" cy="713994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37"/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71399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Fig S9. </w:t>
      </w:r>
      <w:r>
        <w:rPr>
          <w:sz w:val="20"/>
        </w:rPr>
        <w:t xml:space="preserve"> Correlation between hidden unit values and clinical traits.</w:t>
      </w:r>
    </w:p>
    <w:p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szCs w:val="20"/>
        </w:rPr>
        <w:br w:type="page"/>
      </w:r>
      <w:r>
        <w:rPr>
          <w:rFonts w:ascii="Times New Roman" w:hAnsi="Times New Roman"/>
          <w:b/>
          <w:bCs/>
          <w:szCs w:val="20"/>
        </w:rPr>
        <w:drawing>
          <wp:inline distT="0" distB="0" distL="0" distR="0">
            <wp:extent cx="5943600" cy="59436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t>Fig S10. </w:t>
      </w:r>
      <w:r>
        <w:rPr>
          <w:sz w:val="20"/>
        </w:rPr>
        <w:t xml:space="preserve"> Interconnection between our selected genes and severity-related DEGs.</w:t>
      </w:r>
    </w:p>
    <w:p>
      <w:pPr>
        <w:spacing w:line="240" w:lineRule="auto"/>
        <w:rPr>
          <w:rFonts w:ascii="Times New Roman" w:hAnsi="Times New Roman"/>
          <w:szCs w:val="20"/>
        </w:rPr>
      </w:pPr>
      <w:r>
        <w:rPr>
          <w:szCs w:val="20"/>
        </w:rPr>
        <w:br w:type="page"/>
      </w:r>
    </w:p>
    <w:p>
      <w:pPr>
        <w:spacing w:line="240" w:lineRule="auto"/>
        <w:rPr>
          <w:b/>
          <w:bCs/>
          <w:szCs w:val="20"/>
        </w:rPr>
      </w:pPr>
      <w:r>
        <w:rPr>
          <w:b/>
          <w:bCs/>
          <w:szCs w:val="20"/>
        </w:rPr>
        <w:drawing>
          <wp:inline distT="0" distB="0" distL="0" distR="0">
            <wp:extent cx="5943600" cy="59436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spacing w:before="360"/>
        <w:rPr>
          <w:sz w:val="20"/>
          <w:lang w:eastAsia="zh-CN"/>
        </w:rPr>
      </w:pPr>
      <w:r>
        <w:rPr>
          <w:b/>
          <w:bCs/>
          <w:sz w:val="20"/>
        </w:rPr>
        <w:t>Fig S11. </w:t>
      </w:r>
      <w:r>
        <w:rPr>
          <w:sz w:val="20"/>
        </w:rPr>
        <w:t xml:space="preserve"> Comparison of </w:t>
      </w:r>
      <w:r>
        <w:rPr>
          <w:sz w:val="20"/>
          <w:lang w:eastAsia="zh-CN"/>
        </w:rPr>
        <w:t>network centrality between our selected genes and severity-related DEGs.</w:t>
      </w:r>
    </w:p>
    <w:p>
      <w:pPr>
        <w:spacing w:line="240" w:lineRule="auto"/>
        <w:rPr>
          <w:b/>
          <w:bCs/>
          <w:szCs w:val="20"/>
        </w:rPr>
      </w:pPr>
    </w:p>
    <w:p>
      <w:pPr>
        <w:spacing w:line="240" w:lineRule="auto"/>
        <w:rPr>
          <w:rFonts w:ascii="Times New Roman" w:hAnsi="Times New Roman"/>
          <w:szCs w:val="20"/>
        </w:rPr>
      </w:pP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-5612765</wp:posOffset>
            </wp:positionV>
            <wp:extent cx="5943600" cy="594360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 xml:space="preserve"> Fig S12. </w:t>
      </w:r>
      <w:r>
        <w:rPr>
          <w:sz w:val="20"/>
        </w:rPr>
        <w:t xml:space="preserve"> Plot of predicted value v.s true value of pre-treatment FEV1/FVC using LASSO with selected gene expression.</w:t>
      </w:r>
    </w:p>
    <w:p>
      <w:pPr>
        <w:spacing w:line="240" w:lineRule="auto"/>
        <w:rPr>
          <w:rFonts w:ascii="Times New Roman" w:hAnsi="Times New Roman"/>
          <w:b/>
          <w:bCs/>
          <w:szCs w:val="20"/>
        </w:rPr>
      </w:pPr>
      <w:r>
        <w:rPr>
          <w:b/>
          <w:bCs/>
          <w:szCs w:val="20"/>
        </w:rPr>
        <w:br w:type="page"/>
      </w:r>
    </w:p>
    <w:p>
      <w:pPr>
        <w:pStyle w:val="9"/>
        <w:spacing w:before="360"/>
        <w:rPr>
          <w:sz w:val="20"/>
        </w:rPr>
      </w:pPr>
      <w:r>
        <w:rPr>
          <w:b/>
          <w:bCs/>
          <w:sz w:val="2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-5612765</wp:posOffset>
            </wp:positionV>
            <wp:extent cx="5943600" cy="59436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0"/>
        </w:rPr>
        <w:t>Fig S13. </w:t>
      </w:r>
      <w:r>
        <w:rPr>
          <w:sz w:val="20"/>
        </w:rPr>
        <w:t xml:space="preserve"> Plot of predicted value v.s true value of post-treatment FEV1/FVC using LASSO with selected gene expression.</w:t>
      </w:r>
    </w:p>
    <w:p>
      <w:pPr>
        <w:pStyle w:val="9"/>
        <w:spacing w:before="360"/>
        <w:rPr>
          <w:sz w:val="20"/>
        </w:rPr>
      </w:pPr>
    </w:p>
    <w:p>
      <w:pPr>
        <w:pStyle w:val="9"/>
        <w:spacing w:before="360"/>
        <w:rPr>
          <w:sz w:val="20"/>
        </w:rPr>
      </w:pPr>
      <w:r>
        <w:rPr>
          <w:sz w:val="20"/>
        </w:rPr>
        <w:t>.</w:t>
      </w:r>
    </w:p>
    <w:p>
      <w:pPr>
        <w:pStyle w:val="9"/>
        <w:spacing w:before="360"/>
      </w:pPr>
    </w:p>
    <w:p>
      <w:pPr>
        <w:pStyle w:val="9"/>
        <w:spacing w:before="360"/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HYShuSongEr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HYZhongHei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YShuSongEr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YZhongHei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HYShuSongEr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HYZhongDengXian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DengXian Light">
    <w:altName w:val="HYZhongDengXian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">
    <w:altName w:val="HYZhongDengXian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HYZhongDengXian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ZhongDengXian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PingFangHK">
    <w:altName w:val="PingFang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doNotDisplayPageBoundaries w:val="1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EFF"/>
    <w:rsid w:val="000011B0"/>
    <w:rsid w:val="00015A8F"/>
    <w:rsid w:val="00047441"/>
    <w:rsid w:val="000E1E1F"/>
    <w:rsid w:val="001F68B5"/>
    <w:rsid w:val="002229FB"/>
    <w:rsid w:val="002719A5"/>
    <w:rsid w:val="002D547E"/>
    <w:rsid w:val="003118CF"/>
    <w:rsid w:val="00335EDF"/>
    <w:rsid w:val="00343FC7"/>
    <w:rsid w:val="0036177F"/>
    <w:rsid w:val="003855AB"/>
    <w:rsid w:val="00411DC3"/>
    <w:rsid w:val="00435866"/>
    <w:rsid w:val="00495BF4"/>
    <w:rsid w:val="004B06FC"/>
    <w:rsid w:val="004E005F"/>
    <w:rsid w:val="004E1EFF"/>
    <w:rsid w:val="00590A8A"/>
    <w:rsid w:val="005C5113"/>
    <w:rsid w:val="00621BAC"/>
    <w:rsid w:val="00657A0A"/>
    <w:rsid w:val="006E10B1"/>
    <w:rsid w:val="006E3C10"/>
    <w:rsid w:val="00710ABC"/>
    <w:rsid w:val="00716EDB"/>
    <w:rsid w:val="007547AC"/>
    <w:rsid w:val="007D69AD"/>
    <w:rsid w:val="0083152F"/>
    <w:rsid w:val="008422BF"/>
    <w:rsid w:val="00882B0B"/>
    <w:rsid w:val="009059B2"/>
    <w:rsid w:val="00907DD5"/>
    <w:rsid w:val="00931D44"/>
    <w:rsid w:val="00940439"/>
    <w:rsid w:val="00960FBF"/>
    <w:rsid w:val="009755F9"/>
    <w:rsid w:val="009F0778"/>
    <w:rsid w:val="00A00AD6"/>
    <w:rsid w:val="00A110E8"/>
    <w:rsid w:val="00A30B02"/>
    <w:rsid w:val="00A31AE2"/>
    <w:rsid w:val="00A85AB5"/>
    <w:rsid w:val="00AE00E9"/>
    <w:rsid w:val="00AF0A47"/>
    <w:rsid w:val="00AF1B62"/>
    <w:rsid w:val="00B72A7C"/>
    <w:rsid w:val="00BD75CD"/>
    <w:rsid w:val="00C24503"/>
    <w:rsid w:val="00C323E8"/>
    <w:rsid w:val="00C362EA"/>
    <w:rsid w:val="00C37AB1"/>
    <w:rsid w:val="00C9544E"/>
    <w:rsid w:val="00CA3AAD"/>
    <w:rsid w:val="00D25C8D"/>
    <w:rsid w:val="00D31EFD"/>
    <w:rsid w:val="00D611DF"/>
    <w:rsid w:val="00DA57BC"/>
    <w:rsid w:val="00DE6B7D"/>
    <w:rsid w:val="00E25F44"/>
    <w:rsid w:val="00E31E0A"/>
    <w:rsid w:val="00E6127A"/>
    <w:rsid w:val="00E82AC3"/>
    <w:rsid w:val="00F7639F"/>
    <w:rsid w:val="9B5F3915"/>
    <w:rsid w:val="EB6D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exact"/>
    </w:pPr>
    <w:rPr>
      <w:rFonts w:ascii="Times" w:hAnsi="Times" w:eastAsia="Times New Roman" w:cs="Times New Roman"/>
      <w:sz w:val="20"/>
      <w:szCs w:val="24"/>
      <w:lang w:val="en-US" w:eastAsia="en-US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unhideWhenUsed/>
    <w:uiPriority w:val="99"/>
    <w:pPr>
      <w:spacing w:line="240" w:lineRule="auto"/>
    </w:pPr>
    <w:rPr>
      <w:rFonts w:ascii="Times New Roman" w:hAnsi="Times New Roman"/>
      <w:sz w:val="18"/>
      <w:szCs w:val="18"/>
    </w:rPr>
  </w:style>
  <w:style w:type="paragraph" w:styleId="3">
    <w:name w:val="footer"/>
    <w:basedOn w:val="1"/>
    <w:link w:val="18"/>
    <w:unhideWhenUsed/>
    <w:uiPriority w:val="99"/>
    <w:pPr>
      <w:tabs>
        <w:tab w:val="center" w:pos="4680"/>
        <w:tab w:val="right" w:pos="9360"/>
      </w:tabs>
      <w:spacing w:line="240" w:lineRule="auto"/>
    </w:pPr>
  </w:style>
  <w:style w:type="paragraph" w:styleId="4">
    <w:name w:val="header"/>
    <w:basedOn w:val="1"/>
    <w:link w:val="17"/>
    <w:unhideWhenUsed/>
    <w:uiPriority w:val="99"/>
    <w:pPr>
      <w:tabs>
        <w:tab w:val="center" w:pos="4680"/>
        <w:tab w:val="right" w:pos="9360"/>
      </w:tabs>
      <w:spacing w:line="240" w:lineRule="auto"/>
    </w:pPr>
  </w:style>
  <w:style w:type="paragraph" w:styleId="5">
    <w:name w:val="Subtitle"/>
    <w:basedOn w:val="1"/>
    <w:next w:val="1"/>
    <w:link w:val="15"/>
    <w:uiPriority w:val="0"/>
    <w:pPr>
      <w:keepNext/>
      <w:keepLines/>
      <w:spacing w:after="320" w:line="276" w:lineRule="auto"/>
    </w:pPr>
    <w:rPr>
      <w:rFonts w:ascii="Arial" w:hAnsi="Arial" w:eastAsia="Arial" w:cs="Arial"/>
      <w:color w:val="666666"/>
      <w:sz w:val="30"/>
      <w:szCs w:val="30"/>
      <w:lang w:val="en" w:eastAsia="zh-CN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caption"/>
    <w:uiPriority w:val="0"/>
    <w:pPr>
      <w:spacing w:before="240" w:after="260" w:line="200" w:lineRule="exact"/>
    </w:pPr>
    <w:rPr>
      <w:rFonts w:ascii="Times New Roman" w:hAnsi="Times New Roman" w:eastAsia="Times New Roman" w:cs="Times New Roman"/>
      <w:sz w:val="16"/>
      <w:szCs w:val="20"/>
      <w:lang w:val="en-US" w:eastAsia="en-US" w:bidi="ar-SA"/>
    </w:rPr>
  </w:style>
  <w:style w:type="paragraph" w:customStyle="1" w:styleId="10">
    <w:name w:val="Table body"/>
    <w:uiPriority w:val="0"/>
    <w:pPr>
      <w:spacing w:line="200" w:lineRule="exact"/>
      <w:ind w:left="160" w:hanging="160"/>
    </w:pPr>
    <w:rPr>
      <w:rFonts w:ascii="Times New Roman" w:hAnsi="Times New Roman" w:eastAsia="Times New Roman" w:cs="Times New Roman"/>
      <w:sz w:val="16"/>
      <w:szCs w:val="20"/>
      <w:lang w:val="en-US" w:eastAsia="en-US" w:bidi="ar-SA"/>
    </w:rPr>
  </w:style>
  <w:style w:type="paragraph" w:customStyle="1" w:styleId="11">
    <w:name w:val="Table Column head"/>
    <w:basedOn w:val="10"/>
    <w:uiPriority w:val="0"/>
    <w:pPr>
      <w:spacing w:before="80" w:after="140"/>
    </w:pPr>
  </w:style>
  <w:style w:type="paragraph" w:customStyle="1" w:styleId="12">
    <w:name w:val="Table body first"/>
    <w:basedOn w:val="10"/>
    <w:uiPriority w:val="0"/>
    <w:pPr>
      <w:spacing w:before="90"/>
    </w:pPr>
  </w:style>
  <w:style w:type="paragraph" w:customStyle="1" w:styleId="13">
    <w:name w:val="Table body last"/>
    <w:basedOn w:val="10"/>
    <w:uiPriority w:val="0"/>
    <w:pPr>
      <w:spacing w:after="134"/>
    </w:pPr>
  </w:style>
  <w:style w:type="paragraph" w:customStyle="1" w:styleId="14">
    <w:name w:val="Table footnote"/>
    <w:uiPriority w:val="0"/>
    <w:pPr>
      <w:spacing w:before="80" w:line="180" w:lineRule="exact"/>
      <w:jc w:val="both"/>
    </w:pPr>
    <w:rPr>
      <w:rFonts w:ascii="Times New Roman" w:hAnsi="Times New Roman" w:eastAsia="Times New Roman" w:cs="Times New Roman"/>
      <w:sz w:val="14"/>
      <w:szCs w:val="20"/>
      <w:lang w:val="en-US" w:eastAsia="en-US" w:bidi="ar-SA"/>
    </w:rPr>
  </w:style>
  <w:style w:type="character" w:customStyle="1" w:styleId="15">
    <w:name w:val="Subtitle Char"/>
    <w:basedOn w:val="6"/>
    <w:link w:val="5"/>
    <w:uiPriority w:val="0"/>
    <w:rPr>
      <w:rFonts w:ascii="Arial" w:hAnsi="Arial" w:eastAsia="Arial" w:cs="Arial"/>
      <w:color w:val="666666"/>
      <w:sz w:val="30"/>
      <w:szCs w:val="30"/>
      <w:lang w:val="en"/>
    </w:rPr>
  </w:style>
  <w:style w:type="character" w:customStyle="1" w:styleId="16">
    <w:name w:val="Balloon Text Char"/>
    <w:basedOn w:val="6"/>
    <w:link w:val="2"/>
    <w:semiHidden/>
    <w:uiPriority w:val="99"/>
    <w:rPr>
      <w:rFonts w:ascii="Times New Roman" w:hAnsi="Times New Roman" w:eastAsia="Times New Roman" w:cs="Times New Roman"/>
      <w:sz w:val="18"/>
      <w:szCs w:val="18"/>
      <w:lang w:eastAsia="en-US"/>
    </w:rPr>
  </w:style>
  <w:style w:type="character" w:customStyle="1" w:styleId="17">
    <w:name w:val="Header Char"/>
    <w:basedOn w:val="6"/>
    <w:link w:val="4"/>
    <w:uiPriority w:val="99"/>
    <w:rPr>
      <w:rFonts w:ascii="Times" w:hAnsi="Times" w:eastAsia="Times New Roman" w:cs="Times New Roman"/>
      <w:sz w:val="20"/>
      <w:lang w:eastAsia="en-US"/>
    </w:rPr>
  </w:style>
  <w:style w:type="character" w:customStyle="1" w:styleId="18">
    <w:name w:val="Footer Char"/>
    <w:basedOn w:val="6"/>
    <w:link w:val="3"/>
    <w:uiPriority w:val="99"/>
    <w:rPr>
      <w:rFonts w:ascii="Times" w:hAnsi="Times" w:eastAsia="Times New Roman" w:cs="Times New Roman"/>
      <w:sz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emf"/><Relationship Id="rId15" Type="http://schemas.openxmlformats.org/officeDocument/2006/relationships/image" Target="media/image12.emf"/><Relationship Id="rId14" Type="http://schemas.openxmlformats.org/officeDocument/2006/relationships/image" Target="media/image11.emf"/><Relationship Id="rId13" Type="http://schemas.openxmlformats.org/officeDocument/2006/relationships/image" Target="media/image10.emf"/><Relationship Id="rId12" Type="http://schemas.openxmlformats.org/officeDocument/2006/relationships/image" Target="media/image9.emf"/><Relationship Id="rId11" Type="http://schemas.openxmlformats.org/officeDocument/2006/relationships/image" Target="media/image8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402</Words>
  <Characters>2284</Characters>
  <Lines>19</Lines>
  <Paragraphs>5</Paragraphs>
  <TotalTime>0</TotalTime>
  <ScaleCrop>false</ScaleCrop>
  <LinksUpToDate>false</LinksUpToDate>
  <CharactersWithSpaces>2497</CharactersWithSpaces>
  <Application>WPS Office_1.9.1.2994_F1E327BC-269C-435d-A152-05C5408002CA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2019-01-28T09:49:00Z</dcterms:created>
  <dc:creator>Lee TX</dc:creator>
  <cp:lastModifiedBy>lousk</cp:lastModifiedBy>
  <dcterms:modified xsi:type="dcterms:W3CDTF">2020-04-25T09:57:46Z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1033-1.9.1.2994</vt:lpwstr>
  </property>
</Properties>
</file>