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margin" w:tblpXSpec="left" w:tblpY="1"/>
        <w:tblOverlap w:val="never"/>
        <w:tblW w:w="7621" w:type="dxa"/>
        <w:tblInd w:w="0" w:type="dxa"/>
        <w:tbl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1"/>
        <w:gridCol w:w="1039"/>
        <w:gridCol w:w="1417"/>
        <w:gridCol w:w="1135"/>
        <w:gridCol w:w="1276"/>
        <w:gridCol w:w="1133"/>
      </w:tblGrid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7621" w:type="dxa"/>
            <w:gridSpan w:val="6"/>
            <w:tcBorders>
              <w:top w:val="nil"/>
              <w:left w:val="nil"/>
              <w:bottom w:val="single" w:color="8EAADB" w:sz="4" w:space="0"/>
              <w:right w:val="nil"/>
            </w:tcBorders>
            <w:shd w:val="clear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宋体"/>
                <w:b/>
                <w:color w:val="000000"/>
                <w:kern w:val="0"/>
                <w:sz w:val="28"/>
                <w:szCs w:val="28"/>
                <w:bdr w:val="none" w:color="auto" w:sz="0" w:space="0"/>
                <w:lang w:val="en-US"/>
              </w:rPr>
            </w:pPr>
            <w:bookmarkStart w:id="0" w:name="_Hlk55140519"/>
            <w:r>
              <w:rPr>
                <w:rFonts w:hint="eastAsia" w:ascii="等线 Light" w:hAnsi="等线 Light" w:eastAsia="等线 Light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Table 1 The distribution of health institutions per 1,000 population in the western China in 2014-2018</w:t>
            </w:r>
            <w:bookmarkEnd w:id="0"/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621" w:type="dxa"/>
            <w:tcBorders>
              <w:top w:val="single" w:color="8EAADB" w:sz="4" w:space="0"/>
              <w:left w:val="single" w:color="8EAADB" w:sz="4" w:space="0"/>
              <w:bottom w:val="single" w:color="8EAADB" w:sz="4" w:space="0"/>
              <w:right w:val="nil"/>
            </w:tcBorders>
            <w:shd w:val="clear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1261" w:right="0" w:hanging="1201" w:hangingChars="600"/>
              <w:jc w:val="left"/>
              <w:rPr>
                <w:rFonts w:hint="eastAsia" w:ascii="等线 Light" w:hAnsi="等线 Light" w:eastAsia="等线 Light" w:cs="宋体"/>
                <w:b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region               </w:t>
            </w:r>
          </w:p>
        </w:tc>
        <w:tc>
          <w:tcPr>
            <w:tcW w:w="1039" w:type="dxa"/>
            <w:tcBorders>
              <w:top w:val="single" w:color="8EAADB" w:sz="4" w:space="0"/>
              <w:left w:val="nil"/>
              <w:bottom w:val="single" w:color="8EAADB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宋体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2014</w:t>
            </w:r>
          </w:p>
        </w:tc>
        <w:tc>
          <w:tcPr>
            <w:tcW w:w="1417" w:type="dxa"/>
            <w:tcBorders>
              <w:top w:val="single" w:color="8EAADB" w:sz="4" w:space="0"/>
              <w:left w:val="nil"/>
              <w:bottom w:val="single" w:color="8EAADB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宋体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2015</w:t>
            </w:r>
          </w:p>
        </w:tc>
        <w:tc>
          <w:tcPr>
            <w:tcW w:w="1135" w:type="dxa"/>
            <w:tcBorders>
              <w:top w:val="single" w:color="8EAADB" w:sz="4" w:space="0"/>
              <w:left w:val="nil"/>
              <w:bottom w:val="single" w:color="8EAADB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宋体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2016</w:t>
            </w:r>
          </w:p>
        </w:tc>
        <w:tc>
          <w:tcPr>
            <w:tcW w:w="1276" w:type="dxa"/>
            <w:tcBorders>
              <w:top w:val="single" w:color="8EAADB" w:sz="4" w:space="0"/>
              <w:left w:val="nil"/>
              <w:bottom w:val="single" w:color="8EAADB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宋体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2017</w:t>
            </w:r>
          </w:p>
        </w:tc>
        <w:tc>
          <w:tcPr>
            <w:tcW w:w="1135" w:type="dxa"/>
            <w:tcBorders>
              <w:top w:val="single" w:color="8EAADB" w:sz="4" w:space="0"/>
              <w:left w:val="nil"/>
              <w:bottom w:val="single" w:color="8EAADB" w:sz="4" w:space="0"/>
              <w:right w:val="single" w:color="8EAADB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2018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</w:trPr>
        <w:tc>
          <w:tcPr>
            <w:tcW w:w="1621" w:type="dxa"/>
            <w:tcBorders>
              <w:top w:val="single" w:color="8EAADB" w:sz="4" w:space="0"/>
              <w:left w:val="single" w:color="8EAADB" w:sz="4" w:space="0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等线 Light" w:hAnsi="等线 Light" w:eastAsia="等线 Light" w:cs="宋体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Guangxi</w:t>
            </w:r>
          </w:p>
        </w:tc>
        <w:tc>
          <w:tcPr>
            <w:tcW w:w="1039" w:type="dxa"/>
            <w:tcBorders>
              <w:top w:val="single" w:color="8EAADB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 xml:space="preserve">0.73 </w:t>
            </w:r>
          </w:p>
        </w:tc>
        <w:tc>
          <w:tcPr>
            <w:tcW w:w="1417" w:type="dxa"/>
            <w:tcBorders>
              <w:top w:val="single" w:color="8EAADB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 xml:space="preserve">0.72 </w:t>
            </w:r>
          </w:p>
        </w:tc>
        <w:tc>
          <w:tcPr>
            <w:tcW w:w="1135" w:type="dxa"/>
            <w:tcBorders>
              <w:top w:val="single" w:color="8EAADB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 xml:space="preserve">0.71 </w:t>
            </w:r>
          </w:p>
        </w:tc>
        <w:tc>
          <w:tcPr>
            <w:tcW w:w="1276" w:type="dxa"/>
            <w:tcBorders>
              <w:top w:val="single" w:color="8EAADB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 xml:space="preserve">0.70 </w:t>
            </w:r>
          </w:p>
        </w:tc>
        <w:tc>
          <w:tcPr>
            <w:tcW w:w="1135" w:type="dxa"/>
            <w:tcBorders>
              <w:top w:val="single" w:color="8EAADB" w:sz="4" w:space="0"/>
              <w:left w:val="nil"/>
              <w:bottom w:val="nil"/>
              <w:right w:val="single" w:color="8EAADB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 xml:space="preserve">0.68 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</w:trPr>
        <w:tc>
          <w:tcPr>
            <w:tcW w:w="1621" w:type="dxa"/>
            <w:tcBorders>
              <w:top w:val="nil"/>
              <w:left w:val="single" w:color="8EAADB" w:sz="4" w:space="0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等线 Light" w:hAnsi="等线 Light" w:eastAsia="等线 Light" w:cs="宋体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宋体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Shaanxi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 xml:space="preserve">0.99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 xml:space="preserve">0.98 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 xml:space="preserve">0.96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 xml:space="preserve">0.94 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single" w:color="8EAADB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 xml:space="preserve">0.91 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</w:trPr>
        <w:tc>
          <w:tcPr>
            <w:tcW w:w="1621" w:type="dxa"/>
            <w:tcBorders>
              <w:top w:val="nil"/>
              <w:left w:val="single" w:color="8EAADB" w:sz="4" w:space="0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等线 Light" w:hAnsi="等线 Light" w:eastAsia="等线 Light" w:cs="宋体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Gansu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 xml:space="preserve">1.08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 xml:space="preserve">1.07 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 xml:space="preserve">1.08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 xml:space="preserve">1.10 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single" w:color="8EAADB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 xml:space="preserve">1.06 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</w:trPr>
        <w:tc>
          <w:tcPr>
            <w:tcW w:w="1621" w:type="dxa"/>
            <w:tcBorders>
              <w:top w:val="nil"/>
              <w:left w:val="single" w:color="8EAADB" w:sz="4" w:space="0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等线 Light" w:hAnsi="等线 Light" w:eastAsia="等线 Light" w:cs="宋体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Qinghai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 xml:space="preserve">1.07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 xml:space="preserve">1.06 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 xml:space="preserve">1.06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 xml:space="preserve">1.07 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single" w:color="8EAADB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 xml:space="preserve">1.06 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</w:trPr>
        <w:tc>
          <w:tcPr>
            <w:tcW w:w="1621" w:type="dxa"/>
            <w:tcBorders>
              <w:top w:val="nil"/>
              <w:left w:val="single" w:color="8EAADB" w:sz="4" w:space="0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等线 Light" w:hAnsi="等线 Light" w:eastAsia="等线 Light" w:cs="宋体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Ningxia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 xml:space="preserve">0.64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 xml:space="preserve">0.64 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 xml:space="preserve">0.63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 xml:space="preserve">0.63 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single" w:color="8EAADB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 xml:space="preserve">0.65 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</w:trPr>
        <w:tc>
          <w:tcPr>
            <w:tcW w:w="1621" w:type="dxa"/>
            <w:tcBorders>
              <w:top w:val="nil"/>
              <w:left w:val="single" w:color="8EAADB" w:sz="4" w:space="0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等线 Light" w:hAnsi="等线 Light" w:eastAsia="等线 Light" w:cs="宋体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Xinjiang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 xml:space="preserve">0.82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 xml:space="preserve">0.80 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 xml:space="preserve">0.79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 xml:space="preserve">0.77 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single" w:color="8EAADB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 xml:space="preserve">0.74 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</w:trPr>
        <w:tc>
          <w:tcPr>
            <w:tcW w:w="1621" w:type="dxa"/>
            <w:tcBorders>
              <w:top w:val="nil"/>
              <w:left w:val="single" w:color="8EAADB" w:sz="4" w:space="0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等线 Light" w:hAnsi="等线 Light" w:eastAsia="等线 Light" w:cs="宋体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Sichuan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 xml:space="preserve">1.00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 xml:space="preserve">0.98 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 xml:space="preserve">0.96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 xml:space="preserve">0.97 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single" w:color="8EAADB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 xml:space="preserve">0.98 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</w:trPr>
        <w:tc>
          <w:tcPr>
            <w:tcW w:w="1621" w:type="dxa"/>
            <w:tcBorders>
              <w:top w:val="nil"/>
              <w:left w:val="single" w:color="8EAADB" w:sz="4" w:space="0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等线 Light" w:hAnsi="等线 Light" w:eastAsia="等线 Light" w:cs="宋体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Chongqing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 xml:space="preserve">0.63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 xml:space="preserve">0.66 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 xml:space="preserve">0.65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 xml:space="preserve">0.64 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single" w:color="8EAADB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 xml:space="preserve">0.66 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</w:trPr>
        <w:tc>
          <w:tcPr>
            <w:tcW w:w="1621" w:type="dxa"/>
            <w:tcBorders>
              <w:top w:val="nil"/>
              <w:left w:val="single" w:color="8EAADB" w:sz="4" w:space="0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等线 Light" w:hAnsi="等线 Light" w:eastAsia="等线 Light" w:cs="宋体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Yunnan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 xml:space="preserve">0.52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 xml:space="preserve">0.51 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 xml:space="preserve">0.51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 xml:space="preserve">0.51 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single" w:color="8EAADB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 xml:space="preserve">0.52 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</w:trPr>
        <w:tc>
          <w:tcPr>
            <w:tcW w:w="1621" w:type="dxa"/>
            <w:tcBorders>
              <w:top w:val="nil"/>
              <w:left w:val="single" w:color="8EAADB" w:sz="4" w:space="0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等线 Light" w:hAnsi="等线 Light" w:eastAsia="等线 Light" w:cs="宋体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Guizhou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 xml:space="preserve">0.83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 xml:space="preserve">0.81 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 xml:space="preserve">0.79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 xml:space="preserve">0.78 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single" w:color="8EAADB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 xml:space="preserve">0.78 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</w:trPr>
        <w:tc>
          <w:tcPr>
            <w:tcW w:w="1621" w:type="dxa"/>
            <w:tcBorders>
              <w:top w:val="nil"/>
              <w:left w:val="single" w:color="8EAADB" w:sz="4" w:space="0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等线 Light" w:hAnsi="等线 Light" w:eastAsia="等线 Light" w:cs="宋体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instrText xml:space="preserve"> HYPERLINK "https://d.docs.live.net/922c5db5e5f1f57b/博士资料/王政论文/javascript:;" </w:instrText>
            </w:r>
            <w:r>
              <w:rPr>
                <w:rFonts w:hint="default" w:ascii="Times New Roman" w:hAnsi="Times New Roman" w:eastAsia="宋体" w:cs="Times New Roman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等线 Light" w:hAnsi="等线 Light" w:eastAsia="等线 Light" w:cs="等线 Light"/>
                <w:b/>
                <w:color w:val="000000"/>
                <w:kern w:val="0"/>
                <w:sz w:val="22"/>
                <w:szCs w:val="20"/>
                <w:u w:val="none"/>
                <w:bdr w:val="none" w:color="auto" w:sz="0" w:space="0"/>
                <w:lang w:val="en-US"/>
              </w:rPr>
              <w:t>Inner</w:t>
            </w:r>
            <w:r>
              <w:rPr>
                <w:rFonts w:hint="default" w:ascii="Times New Roman" w:hAnsi="Times New Roman" w:eastAsia="宋体" w:cs="Times New Roman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fldChar w:fldCharType="end"/>
            </w:r>
            <w:r>
              <w:rPr>
                <w:rFonts w:hint="eastAsia" w:ascii="等线 Light" w:hAnsi="等线 Light" w:eastAsia="等线 Light" w:cs="Times New Roman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imes New Roman" w:hAnsi="Times New Roman" w:eastAsia="宋体" w:cs="Times New Roman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instrText xml:space="preserve"> HYPERLINK "https://d.docs.live.net/922c5db5e5f1f57b/博士资料/王政论文/javascript:;" </w:instrText>
            </w:r>
            <w:r>
              <w:rPr>
                <w:rFonts w:hint="default" w:ascii="Times New Roman" w:hAnsi="Times New Roman" w:eastAsia="宋体" w:cs="Times New Roman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等线 Light" w:hAnsi="等线 Light" w:eastAsia="等线 Light" w:cs="等线 Light"/>
                <w:b/>
                <w:color w:val="000000"/>
                <w:kern w:val="0"/>
                <w:sz w:val="22"/>
                <w:szCs w:val="20"/>
                <w:u w:val="none"/>
                <w:bdr w:val="none" w:color="auto" w:sz="0" w:space="0"/>
                <w:lang w:val="en-US"/>
              </w:rPr>
              <w:t>Mongolia</w:t>
            </w:r>
            <w:r>
              <w:rPr>
                <w:rFonts w:hint="default" w:ascii="Times New Roman" w:hAnsi="Times New Roman" w:eastAsia="宋体" w:cs="Times New Roman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 xml:space="preserve">0.94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 xml:space="preserve">0.95 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 xml:space="preserve">0.95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 xml:space="preserve">0.96 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single" w:color="8EAADB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 xml:space="preserve">0.97 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</w:trPr>
        <w:tc>
          <w:tcPr>
            <w:tcW w:w="1621" w:type="dxa"/>
            <w:tcBorders>
              <w:top w:val="nil"/>
              <w:left w:val="single" w:color="8EAADB" w:sz="4" w:space="0"/>
              <w:bottom w:val="single" w:color="8EAADB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等线 Light" w:hAnsi="等线 Light" w:eastAsia="等线 Light" w:cs="Times New Roman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>Tibet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8EAADB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 xml:space="preserve">2.14 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8EAADB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 xml:space="preserve">2.10 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8EAADB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 xml:space="preserve">2.06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8EAADB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 xml:space="preserve">2.03 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8EAADB" w:sz="4" w:space="0"/>
              <w:right w:val="single" w:color="8EAADB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0"/>
                <w:bdr w:val="none" w:color="auto" w:sz="0" w:space="0"/>
                <w:lang w:val="en-US" w:eastAsia="zh-CN" w:bidi="ar"/>
              </w:rPr>
              <w:t xml:space="preserve">1.99 </w:t>
            </w:r>
          </w:p>
        </w:tc>
      </w:tr>
    </w:tbl>
    <w:p>
      <w:bookmarkStart w:id="1" w:name="_GoBack"/>
      <w:bookmarkEnd w:id="1"/>
    </w:p>
    <w:sectPr>
      <w:pgSz w:w="12240" w:h="15840"/>
      <w:pgMar w:top="1440" w:right="1800" w:bottom="1440" w:left="1800" w:header="720" w:footer="720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@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5663A1"/>
    <w:rsid w:val="0C566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等线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  <w:style w:type="table" w:customStyle="1" w:styleId="5">
    <w:name w:val="清单表 3 - 着色 11"/>
    <w:basedOn w:val="2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宋体" w:cs="Times New Roman"/>
      <w:sz w:val="20"/>
      <w:szCs w:val="20"/>
    </w:rPr>
    <w:tblPr>
      <w:tblBorders>
        <w:top w:val="single" w:color="5B9BD5" w:sz="4" w:space="0"/>
        <w:left w:val="single" w:color="5B9BD5" w:sz="4" w:space="0"/>
        <w:bottom w:val="single" w:color="5B9BD5" w:sz="4" w:space="0"/>
        <w:right w:val="single" w:color="5B9BD5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5B9BD5" w:sz="4" w:space="0"/>
        <w:left w:val="single" w:color="5B9BD5" w:sz="4" w:space="0"/>
        <w:bottom w:val="single" w:color="5B9BD5" w:sz="4" w:space="0"/>
        <w:right w:val="single" w:color="5B9BD5" w:sz="4" w:space="0"/>
      </w:tcBorders>
    </w:tcPr>
    <w:tblStylePr w:type="firstRow">
      <w:rPr>
        <w:b/>
        <w:bCs/>
        <w:color w:val="CCE8CF"/>
      </w:rPr>
      <w:tblPr/>
      <w:tcPr>
        <w:shd w:val="clear" w:color="auto" w:fill="5B9BD5"/>
      </w:tcPr>
    </w:tblStylePr>
    <w:tblStylePr w:type="lastRow">
      <w:rPr>
        <w:b/>
        <w:bCs/>
      </w:rPr>
      <w:tblPr/>
      <w:tcPr>
        <w:tcBorders>
          <w:top w:val="double" w:color="5B9BD5" w:sz="4" w:space="0"/>
        </w:tcBorders>
        <w:shd w:val="clear" w:color="auto" w:fill="CCE8C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CCE8C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CCE8CF"/>
      </w:tcPr>
    </w:tblStylePr>
    <w:tblStylePr w:type="band1Vert">
      <w:tblPr/>
      <w:tcPr>
        <w:tcBorders>
          <w:left w:val="single" w:color="5B9BD5" w:sz="4" w:space="0"/>
          <w:right w:val="single" w:color="5B9BD5" w:sz="4" w:space="0"/>
        </w:tcBorders>
      </w:tcPr>
    </w:tblStyle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2020-12-11T03:58:00Z</dcterms:created>
  <dc:creator>睿子</dc:creator>
  <cp:lastModifiedBy>睿子</cp:lastModifiedBy>
  <dcterms:modified xsi:type="dcterms:W3CDTF">2020-12-11T03:59:13Z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