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633" w:type="pct"/>
        <w:tblInd w:w="0" w:type="dxa"/>
        <w:tbl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737"/>
        <w:gridCol w:w="737"/>
        <w:gridCol w:w="810"/>
        <w:gridCol w:w="737"/>
        <w:gridCol w:w="737"/>
        <w:gridCol w:w="737"/>
        <w:gridCol w:w="737"/>
        <w:gridCol w:w="737"/>
        <w:gridCol w:w="738"/>
        <w:gridCol w:w="738"/>
        <w:gridCol w:w="738"/>
        <w:gridCol w:w="740"/>
      </w:tblGrid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5000" w:type="pct"/>
            <w:gridSpan w:val="13"/>
            <w:tcBorders>
              <w:top w:val="nil"/>
              <w:left w:val="nil"/>
              <w:bottom w:val="single" w:color="9CC2E5" w:themeColor="accent1" w:themeTint="99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_Hlk55594876"/>
            <w:bookmarkStart w:id="1" w:name="_Hlk53330825"/>
            <w:r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4"/>
                <w:szCs w:val="24"/>
              </w:rPr>
              <w:t>Table 5 Theil index of health resources in western Chinain population dimension in 2014-2018</w:t>
            </w:r>
            <w:bookmarkEnd w:id="0"/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3" w:type="pct"/>
            <w:tcBorders>
              <w:top w:val="single" w:color="9CC2E5" w:themeColor="accent1" w:themeTint="99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</w:p>
        </w:tc>
        <w:tc>
          <w:tcPr>
            <w:tcW w:w="1190" w:type="pct"/>
            <w:gridSpan w:val="3"/>
            <w:tcBorders>
              <w:top w:val="single" w:color="9CC2E5" w:themeColor="accent1" w:themeTint="99" w:sz="4" w:space="0"/>
              <w:left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color w:val="000000"/>
                <w:kern w:val="0"/>
                <w:szCs w:val="21"/>
                <w:u w:val="single" w:color="9CC2E5" w:themeColor="accent1" w:themeTint="99"/>
              </w:rPr>
            </w:pP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   Beds   </w:t>
            </w:r>
          </w:p>
        </w:tc>
        <w:tc>
          <w:tcPr>
            <w:tcW w:w="1152" w:type="pct"/>
            <w:gridSpan w:val="3"/>
            <w:tcBorders>
              <w:top w:val="single" w:color="9CC2E5" w:themeColor="accent1" w:themeTint="99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color w:val="000000"/>
                <w:kern w:val="0"/>
                <w:szCs w:val="21"/>
                <w:u w:val="single" w:color="9CC2E5" w:themeColor="accent1" w:themeTint="99"/>
              </w:rPr>
            </w:pP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Health institutions      </w:t>
            </w:r>
          </w:p>
        </w:tc>
        <w:tc>
          <w:tcPr>
            <w:tcW w:w="1152" w:type="pct"/>
            <w:gridSpan w:val="3"/>
            <w:tcBorders>
              <w:top w:val="single" w:color="9CC2E5" w:themeColor="accent1" w:themeTint="99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color w:val="000000"/>
                <w:kern w:val="0"/>
                <w:szCs w:val="21"/>
                <w:u w:val="single" w:color="9CC2E5" w:themeColor="accent1" w:themeTint="99"/>
              </w:rPr>
            </w:pPr>
            <w:r>
              <w:rPr>
                <w:rFonts w:asciiTheme="majorHAnsi" w:hAnsiTheme="majorHAnsi" w:eastAsiaTheme="majorHAnsi"/>
                <w:u w:val="single" w:color="9CC2E5" w:themeColor="accent1" w:themeTint="99"/>
              </w:rPr>
              <w:t xml:space="preserve">  </w:t>
            </w: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>practitioner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fldChar w:fldCharType="end"/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</w:t>
            </w:r>
          </w:p>
        </w:tc>
        <w:tc>
          <w:tcPr>
            <w:tcW w:w="1152" w:type="pct"/>
            <w:gridSpan w:val="3"/>
            <w:tcBorders>
              <w:top w:val="single" w:color="9CC2E5" w:themeColor="accent1" w:themeTint="99" w:sz="4" w:space="0"/>
              <w:bottom w:val="nil"/>
              <w:right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color w:val="000000"/>
                <w:kern w:val="0"/>
                <w:szCs w:val="21"/>
                <w:u w:val="single" w:color="9CC2E5" w:themeColor="accent1" w:themeTint="99"/>
              </w:rPr>
            </w:pP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  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>n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urses 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3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84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</w:p>
        </w:tc>
        <w:tc>
          <w:tcPr>
            <w:tcW w:w="384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  <w:tc>
          <w:tcPr>
            <w:tcW w:w="422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  <w:tc>
          <w:tcPr>
            <w:tcW w:w="384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</w:p>
        </w:tc>
        <w:tc>
          <w:tcPr>
            <w:tcW w:w="384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  <w:tc>
          <w:tcPr>
            <w:tcW w:w="384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  <w:tc>
          <w:tcPr>
            <w:tcW w:w="384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</w:p>
        </w:tc>
        <w:tc>
          <w:tcPr>
            <w:tcW w:w="384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  <w:tc>
          <w:tcPr>
            <w:tcW w:w="384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  <w:tc>
          <w:tcPr>
            <w:tcW w:w="384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</w:p>
        </w:tc>
        <w:tc>
          <w:tcPr>
            <w:tcW w:w="384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  <w:tc>
          <w:tcPr>
            <w:tcW w:w="384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3" w:type="pct"/>
            <w:tcBorders>
              <w:top w:val="single" w:color="9CC2E5" w:themeColor="accent1" w:themeTint="99" w:sz="4" w:space="0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2014</w:t>
            </w:r>
          </w:p>
        </w:tc>
        <w:tc>
          <w:tcPr>
            <w:tcW w:w="384" w:type="pct"/>
            <w:tcBorders>
              <w:top w:val="single" w:color="9CC2E5" w:themeColor="accent1" w:themeTint="99" w:sz="4" w:space="0"/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384" w:type="pct"/>
            <w:tcBorders>
              <w:top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422" w:type="pct"/>
            <w:tcBorders>
              <w:top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0.000</w:t>
            </w: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  <w:vertAlign w:val="superscript"/>
              </w:rPr>
              <w:t>*</w:t>
            </w: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 </w:t>
            </w:r>
          </w:p>
        </w:tc>
        <w:tc>
          <w:tcPr>
            <w:tcW w:w="384" w:type="pct"/>
            <w:tcBorders>
              <w:top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0.014 </w:t>
            </w:r>
          </w:p>
        </w:tc>
        <w:tc>
          <w:tcPr>
            <w:tcW w:w="384" w:type="pct"/>
            <w:tcBorders>
              <w:top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0.014 </w:t>
            </w:r>
          </w:p>
        </w:tc>
        <w:tc>
          <w:tcPr>
            <w:tcW w:w="384" w:type="pct"/>
            <w:tcBorders>
              <w:top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  <w:tc>
          <w:tcPr>
            <w:tcW w:w="384" w:type="pct"/>
            <w:tcBorders>
              <w:top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0.004 </w:t>
            </w:r>
          </w:p>
        </w:tc>
        <w:tc>
          <w:tcPr>
            <w:tcW w:w="384" w:type="pct"/>
            <w:tcBorders>
              <w:top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0.004 </w:t>
            </w:r>
          </w:p>
        </w:tc>
        <w:tc>
          <w:tcPr>
            <w:tcW w:w="384" w:type="pct"/>
            <w:tcBorders>
              <w:top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  <w:tc>
          <w:tcPr>
            <w:tcW w:w="384" w:type="pct"/>
            <w:tcBorders>
              <w:top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0.004 </w:t>
            </w:r>
          </w:p>
        </w:tc>
        <w:tc>
          <w:tcPr>
            <w:tcW w:w="384" w:type="pct"/>
            <w:tcBorders>
              <w:top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0.004 </w:t>
            </w:r>
          </w:p>
        </w:tc>
        <w:tc>
          <w:tcPr>
            <w:tcW w:w="384" w:type="pct"/>
            <w:tcBorders>
              <w:top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3" w:type="pct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2015</w:t>
            </w:r>
          </w:p>
        </w:tc>
        <w:tc>
          <w:tcPr>
            <w:tcW w:w="384" w:type="pct"/>
            <w:tcBorders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422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0.013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0.013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3" w:type="pct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2016</w:t>
            </w:r>
          </w:p>
        </w:tc>
        <w:tc>
          <w:tcPr>
            <w:tcW w:w="384" w:type="pct"/>
            <w:tcBorders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422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0.013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0.013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3" w:type="pct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2017</w:t>
            </w:r>
          </w:p>
        </w:tc>
        <w:tc>
          <w:tcPr>
            <w:tcW w:w="384" w:type="pct"/>
            <w:tcBorders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422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0.001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0.013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0.013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3" w:type="pct"/>
            <w:tcBorders>
              <w:top w:val="nil"/>
              <w:bottom w:val="single" w:color="5B9BD5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2018</w:t>
            </w:r>
          </w:p>
        </w:tc>
        <w:tc>
          <w:tcPr>
            <w:tcW w:w="384" w:type="pct"/>
            <w:tcBorders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422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0.001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0.013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0.013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0.002 </w:t>
            </w:r>
          </w:p>
        </w:tc>
        <w:tc>
          <w:tcPr>
            <w:tcW w:w="384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0.000 </w:t>
            </w:r>
          </w:p>
        </w:tc>
      </w:tr>
      <w:bookmarkEnd w:id="1"/>
    </w:tbl>
    <w:p>
      <w:pPr>
        <w:spacing w:line="360" w:lineRule="auto"/>
        <w:ind w:firstLine="400" w:firstLineChars="200"/>
        <w:rPr>
          <w:rFonts w:asciiTheme="majorHAnsi" w:hAnsiTheme="majorHAnsi" w:eastAsiaTheme="majorHAnsi"/>
          <w:sz w:val="20"/>
          <w:szCs w:val="20"/>
        </w:rPr>
      </w:pPr>
      <w:r>
        <w:rPr>
          <w:rFonts w:asciiTheme="majorHAnsi" w:hAnsiTheme="majorHAnsi" w:eastAsiaTheme="majorHAnsi"/>
          <w:sz w:val="20"/>
          <w:szCs w:val="20"/>
          <w:vertAlign w:val="superscript"/>
        </w:rPr>
        <w:t>*</w:t>
      </w:r>
      <w:r>
        <w:rPr>
          <w:rFonts w:asciiTheme="majorHAnsi" w:hAnsiTheme="majorHAnsi" w:eastAsiaTheme="majorHAnsi"/>
          <w:sz w:val="20"/>
          <w:szCs w:val="20"/>
        </w:rPr>
        <w:t>: since only three decimal places left to the decimal point, there are several Thiel indexes values of 0.000 in the table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4161A"/>
    <w:rsid w:val="3423740B"/>
    <w:rsid w:val="6214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2020-12-11T04:10:00Z</dcterms:created>
  <dc:creator>睿子</dc:creator>
  <cp:lastModifiedBy>睿子</cp:lastModifiedBy>
  <dcterms:modified xsi:type="dcterms:W3CDTF">2020-12-11T04:12:00Z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