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615" w:tblpY="607"/>
        <w:tblOverlap w:val="never"/>
        <w:tblW w:w="9640" w:type="dxa"/>
        <w:tblInd w:w="0" w:type="dxa"/>
        <w:tbl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991"/>
        <w:gridCol w:w="1134"/>
        <w:gridCol w:w="993"/>
        <w:gridCol w:w="1275"/>
        <w:gridCol w:w="993"/>
        <w:gridCol w:w="1134"/>
        <w:gridCol w:w="992"/>
        <w:gridCol w:w="1134"/>
      </w:tblGrid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0" w:type="dxa"/>
            <w:gridSpan w:val="9"/>
            <w:tcBorders>
              <w:top w:val="nil"/>
              <w:left w:val="nil"/>
              <w:bottom w:val="single" w:color="9CC2E5" w:themeColor="accent1" w:themeTint="99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4"/>
                <w:szCs w:val="24"/>
              </w:rPr>
              <w:t>Table 8 The contribution rate of Theil Index in the geographic dimension of health resources in western China from 2014 to 2018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4" w:type="dxa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kern w:val="0"/>
                <w:sz w:val="22"/>
              </w:rPr>
              <w:t>　</w:t>
            </w:r>
          </w:p>
        </w:tc>
        <w:tc>
          <w:tcPr>
            <w:tcW w:w="2125" w:type="dxa"/>
            <w:gridSpan w:val="2"/>
            <w:tcBorders>
              <w:top w:val="single" w:color="9CC2E5" w:themeColor="accent1" w:themeTint="99" w:sz="4" w:space="0"/>
              <w:left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   Beds   </w:t>
            </w:r>
          </w:p>
        </w:tc>
        <w:tc>
          <w:tcPr>
            <w:tcW w:w="2268" w:type="dxa"/>
            <w:gridSpan w:val="2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Health institutions      </w:t>
            </w:r>
          </w:p>
        </w:tc>
        <w:tc>
          <w:tcPr>
            <w:tcW w:w="2127" w:type="dxa"/>
            <w:gridSpan w:val="2"/>
            <w:tcBorders>
              <w:top w:val="single" w:color="9CC2E5" w:themeColor="accent1" w:themeTint="99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asciiTheme="majorHAnsi" w:hAnsiTheme="majorHAnsi" w:eastAsiaTheme="majorHAnsi"/>
                <w:u w:val="single" w:color="9CC2E5" w:themeColor="accent1" w:themeTint="99"/>
              </w:rPr>
              <w:t xml:space="preserve">  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>practitioner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fldChar w:fldCharType="end"/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</w:t>
            </w:r>
          </w:p>
        </w:tc>
        <w:tc>
          <w:tcPr>
            <w:tcW w:w="2126" w:type="dxa"/>
            <w:gridSpan w:val="2"/>
            <w:tcBorders>
              <w:top w:val="single" w:color="9CC2E5" w:themeColor="accent1" w:themeTint="99" w:sz="4" w:space="0"/>
              <w:bottom w:val="nil"/>
              <w:right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    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>n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18"/>
                <w:szCs w:val="18"/>
                <w:u w:val="single" w:color="9CC2E5" w:themeColor="accent1" w:themeTint="99"/>
              </w:rPr>
              <w:t xml:space="preserve">urses  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4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kern w:val="0"/>
                <w:sz w:val="22"/>
              </w:rPr>
              <w:t>　</w:t>
            </w:r>
          </w:p>
        </w:tc>
        <w:tc>
          <w:tcPr>
            <w:tcW w:w="991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1134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993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1275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993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1134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  <w:tc>
          <w:tcPr>
            <w:tcW w:w="992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nter</w:t>
            </w:r>
          </w:p>
        </w:tc>
        <w:tc>
          <w:tcPr>
            <w:tcW w:w="1134" w:type="dxa"/>
            <w:tcBorders>
              <w:top w:val="nil"/>
              <w:bottom w:val="single" w:color="9CC2E5" w:themeColor="accent1" w:themeTint="99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color w:val="000000"/>
                <w:kern w:val="0"/>
                <w:sz w:val="22"/>
              </w:rPr>
              <w:t>T</w:t>
            </w:r>
            <w:r>
              <w:rPr>
                <w:rFonts w:cs="宋体" w:asciiTheme="majorHAnsi" w:hAnsiTheme="majorHAnsi" w:eastAsiaTheme="majorHAnsi"/>
                <w:color w:val="000000"/>
                <w:kern w:val="0"/>
                <w:sz w:val="22"/>
                <w:vertAlign w:val="subscript"/>
              </w:rPr>
              <w:t>intra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single" w:color="9CC2E5" w:themeColor="accent1" w:themeTint="99" w:sz="4" w:space="0"/>
              <w:left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2014</w:t>
            </w:r>
          </w:p>
        </w:tc>
        <w:tc>
          <w:tcPr>
            <w:tcW w:w="991" w:type="dxa"/>
            <w:tcBorders>
              <w:top w:val="single" w:color="5B9BD5" w:themeColor="accent1" w:sz="4" w:space="0"/>
              <w:left w:val="single" w:color="5B9BD5" w:themeColor="accent1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36.95%</w:t>
            </w:r>
          </w:p>
        </w:tc>
        <w:tc>
          <w:tcPr>
            <w:tcW w:w="1134" w:type="dxa"/>
            <w:tcBorders>
              <w:top w:val="single" w:color="5B9BD5" w:themeColor="accent1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63.05%</w:t>
            </w:r>
          </w:p>
        </w:tc>
        <w:tc>
          <w:tcPr>
            <w:tcW w:w="993" w:type="dxa"/>
            <w:tcBorders>
              <w:top w:val="single" w:color="5B9BD5" w:themeColor="accent1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37.82%</w:t>
            </w:r>
          </w:p>
        </w:tc>
        <w:tc>
          <w:tcPr>
            <w:tcW w:w="1275" w:type="dxa"/>
            <w:tcBorders>
              <w:top w:val="single" w:color="5B9BD5" w:themeColor="accent1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62.18%</w:t>
            </w:r>
          </w:p>
        </w:tc>
        <w:tc>
          <w:tcPr>
            <w:tcW w:w="993" w:type="dxa"/>
            <w:tcBorders>
              <w:top w:val="single" w:color="5B9BD5" w:themeColor="accent1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32.04%</w:t>
            </w:r>
          </w:p>
        </w:tc>
        <w:tc>
          <w:tcPr>
            <w:tcW w:w="1134" w:type="dxa"/>
            <w:tcBorders>
              <w:top w:val="single" w:color="5B9BD5" w:themeColor="accent1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67.96%</w:t>
            </w:r>
          </w:p>
        </w:tc>
        <w:tc>
          <w:tcPr>
            <w:tcW w:w="992" w:type="dxa"/>
            <w:tcBorders>
              <w:top w:val="single" w:color="5B9BD5" w:themeColor="accent1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29.87%</w:t>
            </w:r>
          </w:p>
        </w:tc>
        <w:tc>
          <w:tcPr>
            <w:tcW w:w="1134" w:type="dxa"/>
            <w:tcBorders>
              <w:top w:val="single" w:color="5B9BD5" w:themeColor="accent1" w:sz="4" w:space="0"/>
              <w:left w:val="nil"/>
              <w:bottom w:val="nil"/>
              <w:right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70.13%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nil"/>
              <w:left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2015</w:t>
            </w:r>
          </w:p>
        </w:tc>
        <w:tc>
          <w:tcPr>
            <w:tcW w:w="991" w:type="dxa"/>
            <w:tcBorders>
              <w:top w:val="nil"/>
              <w:left w:val="single" w:color="5B9BD5" w:themeColor="accent1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36.99%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63.01%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37.67%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62.33%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31.80%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68.20%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30.01%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69.99%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nil"/>
              <w:left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2016</w:t>
            </w:r>
          </w:p>
        </w:tc>
        <w:tc>
          <w:tcPr>
            <w:tcW w:w="991" w:type="dxa"/>
            <w:tcBorders>
              <w:top w:val="nil"/>
              <w:left w:val="single" w:color="5B9BD5" w:themeColor="accent1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37.21%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62.79%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37.78%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62.22%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31.77%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68.23%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30.55%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69.45%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nil"/>
              <w:left w:val="single" w:color="9CC2E5" w:themeColor="accent1" w:themeTint="99" w:sz="4" w:space="0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2017</w:t>
            </w:r>
          </w:p>
        </w:tc>
        <w:tc>
          <w:tcPr>
            <w:tcW w:w="991" w:type="dxa"/>
            <w:tcBorders>
              <w:top w:val="nil"/>
              <w:left w:val="single" w:color="5B9BD5" w:themeColor="accent1" w:sz="4" w:space="0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37.55%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62.45%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38.26%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61.74%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32.57%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67.43%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32.26%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67.74%</w:t>
            </w:r>
          </w:p>
        </w:tc>
      </w:tr>
      <w:tr>
        <w:tblPrEx>
          <w:tblBorders>
            <w:top w:val="single" w:color="5B9BD5" w:themeColor="accent1" w:sz="4" w:space="0"/>
            <w:left w:val="single" w:color="5B9BD5" w:themeColor="accent1" w:sz="4" w:space="0"/>
            <w:bottom w:val="single" w:color="5B9BD5" w:themeColor="accent1" w:sz="4" w:space="0"/>
            <w:right w:val="single" w:color="5B9BD5" w:themeColor="accen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94" w:type="dxa"/>
            <w:tcBorders>
              <w:top w:val="nil"/>
              <w:left w:val="single" w:color="9CC2E5" w:themeColor="accent1" w:themeTint="99" w:sz="4" w:space="0"/>
              <w:bottom w:val="single" w:color="9CC2E5" w:themeColor="accent1" w:themeTint="99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ajorHAnsi" w:hAnsiTheme="majorHAnsi" w:eastAsiaTheme="majorHAnsi"/>
                <w:b/>
                <w:bCs/>
                <w:color w:val="000000"/>
                <w:kern w:val="0"/>
                <w:sz w:val="22"/>
              </w:rPr>
              <w:t>2018</w:t>
            </w:r>
          </w:p>
        </w:tc>
        <w:tc>
          <w:tcPr>
            <w:tcW w:w="991" w:type="dxa"/>
            <w:tcBorders>
              <w:top w:val="nil"/>
              <w:left w:val="single" w:color="5B9BD5" w:themeColor="accent1" w:sz="4" w:space="0"/>
              <w:bottom w:val="single" w:color="5B9BD5" w:themeColor="accent1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37.71%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5B9BD5" w:themeColor="accent1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62.29%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5B9BD5" w:themeColor="accent1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38.17%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5B9BD5" w:themeColor="accent1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61.83%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5B9BD5" w:themeColor="accent1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33.09%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5B9BD5" w:themeColor="accent1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66.91%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5B9BD5" w:themeColor="accent1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32.85%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5B9BD5" w:themeColor="accent1" w:sz="4" w:space="0"/>
              <w:right w:val="single" w:color="5B9BD5" w:themeColor="accent1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cs="Times New Roman" w:asciiTheme="majorHAnsi" w:hAnsiTheme="majorHAnsi" w:eastAsiaTheme="majorHAnsi"/>
                <w:color w:val="000000"/>
                <w:sz w:val="22"/>
              </w:rPr>
            </w:pPr>
            <w:r>
              <w:rPr>
                <w:rFonts w:hint="eastAsia" w:cs="Times New Roman" w:asciiTheme="majorHAnsi" w:hAnsiTheme="majorHAnsi" w:eastAsiaTheme="majorHAnsi"/>
                <w:color w:val="000000"/>
                <w:sz w:val="22"/>
              </w:rPr>
              <w:t>67.15%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310DE1"/>
    <w:rsid w:val="3331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2020-12-11T04:14:00Z</dcterms:created>
  <dc:creator>睿子</dc:creator>
  <cp:lastModifiedBy>睿子</cp:lastModifiedBy>
  <dcterms:modified xsi:type="dcterms:W3CDTF">2020-12-11T04:14:48Z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