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0" w:type="dxa"/>
        <w:tblInd w:w="-176" w:type="dxa"/>
        <w:tbl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991"/>
        <w:gridCol w:w="1134"/>
        <w:gridCol w:w="993"/>
        <w:gridCol w:w="1275"/>
        <w:gridCol w:w="993"/>
        <w:gridCol w:w="1134"/>
        <w:gridCol w:w="992"/>
        <w:gridCol w:w="1134"/>
      </w:tblGrid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single" w:color="9CC2E5" w:themeColor="accent1" w:themeTint="99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Hlk53341409"/>
            <w:r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  <w:t xml:space="preserve">Table 7 The contribution rate of Theil Index in the population </w:t>
            </w:r>
          </w:p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  <w:t>dimension of health resources in western China from 2014 to 2018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4" w:type="dxa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kern w:val="0"/>
                <w:sz w:val="22"/>
              </w:rPr>
              <w:t>　</w:t>
            </w:r>
          </w:p>
        </w:tc>
        <w:tc>
          <w:tcPr>
            <w:tcW w:w="2125" w:type="dxa"/>
            <w:gridSpan w:val="2"/>
            <w:tcBorders>
              <w:top w:val="single" w:color="9CC2E5" w:themeColor="accent1" w:themeTint="99" w:sz="4" w:space="0"/>
              <w:left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 Beds   </w:t>
            </w:r>
          </w:p>
        </w:tc>
        <w:tc>
          <w:tcPr>
            <w:tcW w:w="2268" w:type="dxa"/>
            <w:gridSpan w:val="2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Health institutions      </w:t>
            </w:r>
          </w:p>
        </w:tc>
        <w:tc>
          <w:tcPr>
            <w:tcW w:w="2127" w:type="dxa"/>
            <w:gridSpan w:val="2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asciiTheme="majorHAnsi" w:hAnsiTheme="majorHAnsi" w:eastAsiaTheme="majorHAnsi"/>
                <w:u w:val="single" w:color="9CC2E5" w:themeColor="accent1" w:themeTint="99"/>
              </w:rPr>
              <w:t xml:space="preserve"> 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practitioner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fldChar w:fldCharType="end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</w:t>
            </w:r>
          </w:p>
        </w:tc>
        <w:tc>
          <w:tcPr>
            <w:tcW w:w="2126" w:type="dxa"/>
            <w:gridSpan w:val="2"/>
            <w:tcBorders>
              <w:top w:val="single" w:color="9CC2E5" w:themeColor="accent1" w:themeTint="99" w:sz="4" w:space="0"/>
              <w:bottom w:val="nil"/>
              <w:right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n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urses  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kern w:val="0"/>
                <w:sz w:val="22"/>
              </w:rPr>
              <w:t>　</w:t>
            </w:r>
          </w:p>
        </w:tc>
        <w:tc>
          <w:tcPr>
            <w:tcW w:w="991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13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993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275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993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13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992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13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single" w:color="9CC2E5" w:themeColor="accent1" w:themeTint="99" w:sz="4" w:space="0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2014</w:t>
            </w:r>
          </w:p>
        </w:tc>
        <w:tc>
          <w:tcPr>
            <w:tcW w:w="991" w:type="dxa"/>
            <w:tcBorders>
              <w:top w:val="single" w:color="5B9BD5" w:themeColor="accent1" w:sz="4" w:space="0"/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8.00%</w:t>
            </w:r>
          </w:p>
        </w:tc>
        <w:tc>
          <w:tcPr>
            <w:tcW w:w="1134" w:type="dxa"/>
            <w:tcBorders>
              <w:top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92.00%</w:t>
            </w:r>
          </w:p>
        </w:tc>
        <w:tc>
          <w:tcPr>
            <w:tcW w:w="993" w:type="dxa"/>
            <w:tcBorders>
              <w:top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0.15%</w:t>
            </w:r>
          </w:p>
        </w:tc>
        <w:tc>
          <w:tcPr>
            <w:tcW w:w="1275" w:type="dxa"/>
            <w:tcBorders>
              <w:top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99.85%</w:t>
            </w:r>
          </w:p>
        </w:tc>
        <w:tc>
          <w:tcPr>
            <w:tcW w:w="993" w:type="dxa"/>
            <w:tcBorders>
              <w:top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10.31%</w:t>
            </w:r>
          </w:p>
        </w:tc>
        <w:tc>
          <w:tcPr>
            <w:tcW w:w="1134" w:type="dxa"/>
            <w:tcBorders>
              <w:top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89.69%</w:t>
            </w:r>
          </w:p>
        </w:tc>
        <w:tc>
          <w:tcPr>
            <w:tcW w:w="992" w:type="dxa"/>
            <w:tcBorders>
              <w:top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8.82%</w:t>
            </w:r>
          </w:p>
        </w:tc>
        <w:tc>
          <w:tcPr>
            <w:tcW w:w="1134" w:type="dxa"/>
            <w:tcBorders>
              <w:top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91.18%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2015</w:t>
            </w:r>
          </w:p>
        </w:tc>
        <w:tc>
          <w:tcPr>
            <w:tcW w:w="991" w:type="dxa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12.53%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87.47%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0.15%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99.85%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14.15%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85.85%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6.90%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93.10%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2016</w:t>
            </w:r>
          </w:p>
        </w:tc>
        <w:tc>
          <w:tcPr>
            <w:tcW w:w="991" w:type="dxa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18.68%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81.32%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0.14%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99.86%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15.69%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84.31%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2.96%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97.04%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91" w:type="dxa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23.72%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76.28%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0.33%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99.67%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10.68%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89.32%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0.12%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99.88%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single" w:color="9CC2E5" w:themeColor="accent1" w:themeTint="99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91" w:type="dxa"/>
            <w:tcBorders>
              <w:lef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26.75%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73.25%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0.48%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99.52%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4.18%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95.82%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2.57%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97.43%</w:t>
            </w:r>
          </w:p>
        </w:tc>
      </w:tr>
      <w:bookmarkEnd w:id="0"/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91F05"/>
    <w:rsid w:val="3829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2020-12-11T04:13:00Z</dcterms:created>
  <dc:creator>睿子</dc:creator>
  <cp:lastModifiedBy>睿子</cp:lastModifiedBy>
  <dcterms:modified xsi:type="dcterms:W3CDTF">2020-12-11T04:14:05Z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