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3. The clinical characteristics of the periodontitis patient and normal people. 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tbl>
      <w:tblPr>
        <w:tblStyle w:val="3"/>
        <w:tblW w:w="6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275"/>
        <w:gridCol w:w="1265"/>
        <w:gridCol w:w="1271"/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 xml:space="preserve">ingival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ndex (GI)</w:t>
            </w:r>
          </w:p>
        </w:tc>
        <w:tc>
          <w:tcPr>
            <w:tcW w:w="126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 xml:space="preserve">laque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ndex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(PLI)</w:t>
            </w:r>
          </w:p>
        </w:tc>
        <w:tc>
          <w:tcPr>
            <w:tcW w:w="127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 xml:space="preserve">robing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epth (PD)</w:t>
            </w:r>
          </w:p>
        </w:tc>
        <w:tc>
          <w:tcPr>
            <w:tcW w:w="158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Clinical 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 xml:space="preserve">ttachment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evel 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AL)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N1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 mm</w:t>
            </w:r>
          </w:p>
        </w:tc>
        <w:tc>
          <w:tcPr>
            <w:tcW w:w="1586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 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 mm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 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CP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3.83 mm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9.33 mm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B24731"/>
    <w:rsid w:val="142D6CF9"/>
    <w:rsid w:val="343E39BD"/>
    <w:rsid w:val="4D1C3F0D"/>
    <w:rsid w:val="52253523"/>
    <w:rsid w:val="6471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surface</dc:creator>
  <cp:lastModifiedBy>marguerite</cp:lastModifiedBy>
  <dcterms:modified xsi:type="dcterms:W3CDTF">2020-10-25T12:05:55Z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