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emf" ContentType="image/x-emf"/>
  <Default Extension="rels" ContentType="application/vnd.openxmlformats-package.relationships+xml"/>
  <Default Extension="xml" ContentType="application/xml"/>
  <Default Extension="tiff" ContentType="image/tiff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theme/themeOverride1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642BD" w:rsidRDefault="003642BD" w:rsidP="003642BD">
      <w:pPr>
        <w:widowControl/>
        <w:jc w:val="left"/>
        <w:rPr>
          <w:rFonts w:ascii="Times New Roman" w:eastAsia="宋体" w:hAnsi="Times New Roman" w:cs="Times New Roman"/>
          <w:b/>
          <w:kern w:val="0"/>
          <w:sz w:val="24"/>
          <w:szCs w:val="24"/>
          <w:lang w:eastAsia="en-US"/>
        </w:rPr>
      </w:pPr>
      <w:r w:rsidRPr="003642BD">
        <w:rPr>
          <w:rFonts w:ascii="Times New Roman" w:eastAsia="宋体" w:hAnsi="Times New Roman" w:cs="Times New Roman"/>
          <w:b/>
          <w:kern w:val="0"/>
          <w:sz w:val="24"/>
          <w:szCs w:val="24"/>
          <w:lang w:eastAsia="en-US"/>
        </w:rPr>
        <w:t xml:space="preserve">Additional file 1 of Chromosome-level genome assembly provides insights into evolution of chromosome and globin gene superfamily in </w:t>
      </w:r>
      <w:proofErr w:type="spellStart"/>
      <w:r w:rsidRPr="003642BD">
        <w:rPr>
          <w:rFonts w:ascii="Times New Roman" w:eastAsia="宋体" w:hAnsi="Times New Roman" w:cs="Times New Roman"/>
          <w:b/>
          <w:kern w:val="0"/>
          <w:sz w:val="24"/>
          <w:szCs w:val="24"/>
          <w:lang w:eastAsia="en-US"/>
        </w:rPr>
        <w:t>Gymncypris</w:t>
      </w:r>
      <w:proofErr w:type="spellEnd"/>
      <w:r w:rsidRPr="003642BD">
        <w:rPr>
          <w:rFonts w:ascii="Times New Roman" w:eastAsia="宋体" w:hAnsi="Times New Roman" w:cs="Times New Roman"/>
          <w:b/>
          <w:kern w:val="0"/>
          <w:sz w:val="24"/>
          <w:szCs w:val="24"/>
          <w:lang w:eastAsia="en-US"/>
        </w:rPr>
        <w:t xml:space="preserve"> </w:t>
      </w:r>
      <w:proofErr w:type="spellStart"/>
      <w:r w:rsidRPr="003642BD">
        <w:rPr>
          <w:rFonts w:ascii="Times New Roman" w:eastAsia="宋体" w:hAnsi="Times New Roman" w:cs="Times New Roman"/>
          <w:b/>
          <w:kern w:val="0"/>
          <w:sz w:val="24"/>
          <w:szCs w:val="24"/>
          <w:lang w:eastAsia="en-US"/>
        </w:rPr>
        <w:t>eckloni</w:t>
      </w:r>
      <w:proofErr w:type="spellEnd"/>
    </w:p>
    <w:p w:rsidR="003642BD" w:rsidRPr="003642BD" w:rsidRDefault="003642BD" w:rsidP="003642BD">
      <w:pPr>
        <w:widowControl/>
        <w:jc w:val="left"/>
        <w:rPr>
          <w:rFonts w:ascii="Times New Roman" w:eastAsia="宋体" w:hAnsi="Times New Roman" w:cs="Times New Roman"/>
          <w:b/>
          <w:kern w:val="0"/>
          <w:sz w:val="24"/>
          <w:szCs w:val="24"/>
          <w:lang w:eastAsia="en-US"/>
        </w:rPr>
      </w:pPr>
    </w:p>
    <w:p w:rsidR="003642BD" w:rsidRPr="003642BD" w:rsidRDefault="003642BD" w:rsidP="003642BD">
      <w:pPr>
        <w:widowControl/>
        <w:jc w:val="center"/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  <w:lang w:eastAsia="en-US"/>
        </w:rPr>
      </w:pPr>
      <w:r w:rsidRPr="003642BD">
        <w:rPr>
          <w:rFonts w:ascii="Calibri" w:eastAsia="宋体" w:hAnsi="Calibri" w:cs="Times New Roman"/>
          <w:noProof/>
          <w:kern w:val="0"/>
          <w:sz w:val="24"/>
          <w:szCs w:val="24"/>
        </w:rPr>
        <w:drawing>
          <wp:inline distT="0" distB="0" distL="0" distR="0" wp14:anchorId="44292B87" wp14:editId="7A77AA37">
            <wp:extent cx="4157980" cy="128016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7980" cy="12801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642BD" w:rsidRPr="003642BD" w:rsidRDefault="003642BD" w:rsidP="003642BD">
      <w:pPr>
        <w:widowControl/>
        <w:jc w:val="left"/>
        <w:rPr>
          <w:rFonts w:ascii="Calibri" w:eastAsia="宋体" w:hAnsi="Calibri" w:cs="Times New Roman"/>
          <w:b/>
          <w:color w:val="000000"/>
          <w:kern w:val="0"/>
          <w:sz w:val="24"/>
          <w:szCs w:val="24"/>
          <w:lang w:eastAsia="en-US"/>
        </w:rPr>
      </w:pPr>
      <w:r w:rsidRPr="003642BD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  <w:lang w:eastAsia="en-US"/>
        </w:rPr>
        <w:t xml:space="preserve">Fig. 1. </w:t>
      </w:r>
      <w:r w:rsidRPr="003642BD">
        <w:rPr>
          <w:rFonts w:ascii="Calibri" w:eastAsia="宋体" w:hAnsi="Calibri" w:cs="Times New Roman"/>
          <w:b/>
          <w:color w:val="000000"/>
          <w:kern w:val="0"/>
          <w:sz w:val="24"/>
          <w:szCs w:val="24"/>
          <w:lang w:eastAsia="en-US"/>
        </w:rPr>
        <w:t xml:space="preserve"> </w:t>
      </w:r>
      <w:r w:rsidRPr="003642BD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  <w:lang w:eastAsia="en-US"/>
        </w:rPr>
        <w:t xml:space="preserve">A picture of </w:t>
      </w:r>
      <w:proofErr w:type="spellStart"/>
      <w:r w:rsidRPr="003642BD">
        <w:rPr>
          <w:rFonts w:ascii="Times New Roman" w:eastAsia="宋体" w:hAnsi="Times New Roman" w:cs="Times New Roman"/>
          <w:b/>
          <w:i/>
          <w:color w:val="000000"/>
          <w:kern w:val="0"/>
          <w:sz w:val="24"/>
          <w:szCs w:val="24"/>
          <w:lang w:eastAsia="en-US"/>
        </w:rPr>
        <w:t>Gymncypris</w:t>
      </w:r>
      <w:proofErr w:type="spellEnd"/>
      <w:r w:rsidRPr="003642BD">
        <w:rPr>
          <w:rFonts w:ascii="Times New Roman" w:eastAsia="宋体" w:hAnsi="Times New Roman" w:cs="Times New Roman"/>
          <w:b/>
          <w:i/>
          <w:color w:val="000000"/>
          <w:kern w:val="0"/>
          <w:sz w:val="24"/>
          <w:szCs w:val="24"/>
          <w:lang w:eastAsia="en-US"/>
        </w:rPr>
        <w:t xml:space="preserve"> </w:t>
      </w:r>
      <w:proofErr w:type="spellStart"/>
      <w:r w:rsidRPr="003642BD">
        <w:rPr>
          <w:rFonts w:ascii="Times New Roman" w:eastAsia="宋体" w:hAnsi="Times New Roman" w:cs="Times New Roman"/>
          <w:b/>
          <w:i/>
          <w:color w:val="000000"/>
          <w:kern w:val="0"/>
          <w:sz w:val="24"/>
          <w:szCs w:val="24"/>
          <w:lang w:eastAsia="en-US"/>
        </w:rPr>
        <w:t>eckloni</w:t>
      </w:r>
      <w:proofErr w:type="spellEnd"/>
      <w:r w:rsidRPr="003642BD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  <w:lang w:eastAsia="en-US"/>
        </w:rPr>
        <w:t xml:space="preserve"> used in the genome sequencing and assembly.</w:t>
      </w:r>
    </w:p>
    <w:p w:rsidR="003642BD" w:rsidRPr="003642BD" w:rsidRDefault="003642BD" w:rsidP="003642BD">
      <w:pPr>
        <w:widowControl/>
        <w:jc w:val="center"/>
        <w:rPr>
          <w:rFonts w:ascii="Calibri" w:eastAsia="宋体" w:hAnsi="Calibri" w:cs="Times New Roman"/>
          <w:kern w:val="0"/>
          <w:sz w:val="24"/>
          <w:szCs w:val="24"/>
          <w:lang w:eastAsia="en-US"/>
        </w:rPr>
      </w:pPr>
    </w:p>
    <w:p w:rsidR="003642BD" w:rsidRPr="003642BD" w:rsidRDefault="003642BD" w:rsidP="003642BD">
      <w:pPr>
        <w:widowControl/>
        <w:jc w:val="center"/>
        <w:rPr>
          <w:rFonts w:ascii="Calibri" w:eastAsia="宋体" w:hAnsi="Calibri" w:cs="Times New Roman"/>
          <w:kern w:val="0"/>
          <w:sz w:val="24"/>
          <w:szCs w:val="24"/>
          <w:lang w:eastAsia="en-US"/>
        </w:rPr>
      </w:pPr>
      <w:r w:rsidRPr="003642BD">
        <w:rPr>
          <w:rFonts w:ascii="Calibri" w:eastAsia="宋体" w:hAnsi="Calibri" w:cs="Times New Roman"/>
          <w:noProof/>
          <w:kern w:val="0"/>
          <w:sz w:val="24"/>
          <w:szCs w:val="24"/>
        </w:rPr>
        <w:drawing>
          <wp:inline distT="0" distB="0" distL="0" distR="0" wp14:anchorId="5BC9E774" wp14:editId="6BC1477F">
            <wp:extent cx="3333750" cy="3333750"/>
            <wp:effectExtent l="0" t="0" r="0" b="0"/>
            <wp:docPr id="3" name="图片 3" descr="G:\zhangwenhui17023\X101SC19121094-Z01_liefuyu.ALL.20210315\4.Survey.Results\LieFuYu.17merFreq.nu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zhangwenhui17023\X101SC19121094-Z01_liefuyu.ALL.20210315\4.Survey.Results\LieFuYu.17merFreq.num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5811" cy="33458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642BD" w:rsidRPr="003642BD" w:rsidRDefault="003642BD" w:rsidP="003642BD">
      <w:pPr>
        <w:widowControl/>
        <w:adjustRightInd w:val="0"/>
        <w:snapToGrid w:val="0"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en-US"/>
        </w:rPr>
      </w:pPr>
      <w:r w:rsidRPr="003642BD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  <w:lang w:eastAsia="en-US"/>
        </w:rPr>
        <w:t>Fig. 2. 17-mer distribution o</w:t>
      </w:r>
      <w:r w:rsidRPr="003642BD">
        <w:rPr>
          <w:rFonts w:ascii="Times New Roman" w:eastAsia="宋体" w:hAnsi="Times New Roman" w:cs="Times New Roman"/>
          <w:b/>
          <w:color w:val="000000"/>
          <w:kern w:val="0"/>
          <w:sz w:val="24"/>
          <w:szCs w:val="21"/>
          <w:lang w:eastAsia="en-US"/>
        </w:rPr>
        <w:t xml:space="preserve">f </w:t>
      </w:r>
      <w:r w:rsidRPr="003642BD"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4"/>
          <w:szCs w:val="24"/>
          <w:lang w:eastAsia="en-US"/>
        </w:rPr>
        <w:t>G</w:t>
      </w:r>
      <w:r w:rsidRPr="003642BD">
        <w:rPr>
          <w:rFonts w:ascii="Times New Roman" w:eastAsia="宋体" w:hAnsi="Times New Roman" w:cs="Times New Roman" w:hint="eastAsia"/>
          <w:b/>
          <w:bCs/>
          <w:i/>
          <w:iCs/>
          <w:color w:val="000000"/>
          <w:kern w:val="0"/>
          <w:sz w:val="24"/>
          <w:szCs w:val="24"/>
        </w:rPr>
        <w:t>.</w:t>
      </w:r>
      <w:r w:rsidRPr="003642BD"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4"/>
          <w:szCs w:val="24"/>
          <w:lang w:eastAsia="en-US"/>
        </w:rPr>
        <w:t xml:space="preserve"> </w:t>
      </w:r>
      <w:proofErr w:type="spellStart"/>
      <w:r w:rsidRPr="003642BD"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4"/>
          <w:szCs w:val="24"/>
          <w:lang w:eastAsia="en-US"/>
        </w:rPr>
        <w:t>eckloni</w:t>
      </w:r>
      <w:proofErr w:type="spellEnd"/>
      <w:r w:rsidRPr="003642BD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  <w:lang w:eastAsia="en-US"/>
        </w:rPr>
        <w:t>.</w:t>
      </w:r>
      <w:r w:rsidRPr="003642BD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en-US"/>
        </w:rPr>
        <w:t xml:space="preserve"> The X-axis is the </w:t>
      </w:r>
      <w:proofErr w:type="spellStart"/>
      <w:r w:rsidRPr="003642BD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en-US"/>
        </w:rPr>
        <w:t>Kmer</w:t>
      </w:r>
      <w:proofErr w:type="spellEnd"/>
      <w:r w:rsidRPr="003642BD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en-US"/>
        </w:rPr>
        <w:t xml:space="preserve"> depth and Y-axis represents the frequency of the </w:t>
      </w:r>
      <w:proofErr w:type="spellStart"/>
      <w:r w:rsidRPr="003642BD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en-US"/>
        </w:rPr>
        <w:t>Kmer</w:t>
      </w:r>
      <w:proofErr w:type="spellEnd"/>
      <w:r w:rsidRPr="003642BD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en-US"/>
        </w:rPr>
        <w:t xml:space="preserve"> for a given depth. </w:t>
      </w:r>
      <w:r w:rsidRPr="003642BD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  <w:lang w:eastAsia="en-US"/>
        </w:rPr>
        <w:t>T</w:t>
      </w:r>
      <w:r w:rsidRPr="003642BD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en-US"/>
        </w:rPr>
        <w:t>he genome size was estimated using the k-</w:t>
      </w:r>
      <w:proofErr w:type="spellStart"/>
      <w:r w:rsidRPr="003642BD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en-US"/>
        </w:rPr>
        <w:t>mer</w:t>
      </w:r>
      <w:proofErr w:type="spellEnd"/>
      <w:r w:rsidRPr="003642BD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en-US"/>
        </w:rPr>
        <w:t xml:space="preserve"> number divided by k-</w:t>
      </w:r>
      <w:proofErr w:type="spellStart"/>
      <w:r w:rsidRPr="003642BD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en-US"/>
        </w:rPr>
        <w:t>mer</w:t>
      </w:r>
      <w:proofErr w:type="spellEnd"/>
      <w:r w:rsidRPr="003642BD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en-US"/>
        </w:rPr>
        <w:t xml:space="preserve"> depth.</w:t>
      </w:r>
    </w:p>
    <w:p w:rsidR="003642BD" w:rsidRPr="003642BD" w:rsidRDefault="003642BD" w:rsidP="003642BD">
      <w:pPr>
        <w:widowControl/>
        <w:adjustRightInd w:val="0"/>
        <w:snapToGrid w:val="0"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en-US"/>
        </w:rPr>
      </w:pPr>
    </w:p>
    <w:p w:rsidR="003642BD" w:rsidRPr="003642BD" w:rsidRDefault="003642BD" w:rsidP="003642BD">
      <w:pPr>
        <w:widowControl/>
        <w:jc w:val="center"/>
        <w:rPr>
          <w:rFonts w:ascii="Calibri" w:eastAsia="宋体" w:hAnsi="Calibri" w:cs="Times New Roman"/>
          <w:kern w:val="0"/>
          <w:sz w:val="24"/>
          <w:szCs w:val="24"/>
          <w:lang w:eastAsia="en-US"/>
        </w:rPr>
      </w:pPr>
      <w:r w:rsidRPr="003642BD">
        <w:rPr>
          <w:rFonts w:ascii="Calibri" w:eastAsia="宋体" w:hAnsi="Calibri" w:cs="Times New Roman"/>
          <w:noProof/>
          <w:kern w:val="0"/>
          <w:sz w:val="24"/>
          <w:szCs w:val="24"/>
        </w:rPr>
        <w:lastRenderedPageBreak/>
        <w:drawing>
          <wp:inline distT="0" distB="0" distL="0" distR="0" wp14:anchorId="70E0C4BA" wp14:editId="79E7FB7E">
            <wp:extent cx="4171950" cy="2443088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Backup_of_picture_2_2_2_1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78511" cy="2446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642BD" w:rsidRPr="003642BD" w:rsidRDefault="003642BD" w:rsidP="003642BD">
      <w:pPr>
        <w:widowControl/>
        <w:autoSpaceDE w:val="0"/>
        <w:autoSpaceDN w:val="0"/>
        <w:adjustRightInd w:val="0"/>
        <w:snapToGrid w:val="0"/>
        <w:spacing w:line="360" w:lineRule="auto"/>
        <w:jc w:val="left"/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  <w:lang w:eastAsia="en-US"/>
        </w:rPr>
      </w:pPr>
      <w:r w:rsidRPr="003642BD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  <w:lang w:eastAsia="en-US"/>
        </w:rPr>
        <w:t xml:space="preserve">Fig. 3. The composition of gene elements in the </w:t>
      </w:r>
      <w:r w:rsidRPr="003642BD">
        <w:rPr>
          <w:rFonts w:ascii="Times New Roman" w:eastAsia="宋体" w:hAnsi="Times New Roman" w:cs="Times New Roman"/>
          <w:b/>
          <w:i/>
          <w:iCs/>
          <w:color w:val="000000"/>
          <w:kern w:val="0"/>
          <w:sz w:val="24"/>
          <w:szCs w:val="24"/>
          <w:lang w:eastAsia="en-US"/>
        </w:rPr>
        <w:t xml:space="preserve">G. </w:t>
      </w:r>
      <w:proofErr w:type="spellStart"/>
      <w:r w:rsidRPr="003642BD">
        <w:rPr>
          <w:rFonts w:ascii="Times New Roman" w:eastAsia="宋体" w:hAnsi="Times New Roman" w:cs="Times New Roman"/>
          <w:b/>
          <w:i/>
          <w:iCs/>
          <w:color w:val="000000"/>
          <w:kern w:val="0"/>
          <w:sz w:val="24"/>
          <w:szCs w:val="24"/>
          <w:lang w:eastAsia="en-US"/>
        </w:rPr>
        <w:t>eckloni</w:t>
      </w:r>
      <w:proofErr w:type="spellEnd"/>
      <w:r w:rsidRPr="003642BD">
        <w:rPr>
          <w:rFonts w:ascii="Times New Roman" w:eastAsia="宋体" w:hAnsi="Times New Roman" w:cs="Times New Roman"/>
          <w:b/>
          <w:i/>
          <w:iCs/>
          <w:color w:val="000000"/>
          <w:kern w:val="0"/>
          <w:sz w:val="24"/>
          <w:szCs w:val="24"/>
          <w:lang w:eastAsia="en-US"/>
        </w:rPr>
        <w:t xml:space="preserve"> </w:t>
      </w:r>
      <w:r w:rsidRPr="003642BD">
        <w:rPr>
          <w:rFonts w:ascii="Times New Roman" w:eastAsia="宋体" w:hAnsi="Times New Roman" w:cs="Times New Roman"/>
          <w:b/>
          <w:iCs/>
          <w:color w:val="000000"/>
          <w:kern w:val="0"/>
          <w:sz w:val="24"/>
          <w:szCs w:val="24"/>
          <w:lang w:eastAsia="en-US"/>
        </w:rPr>
        <w:t xml:space="preserve">genome </w:t>
      </w:r>
      <w:r w:rsidRPr="003642BD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  <w:lang w:eastAsia="en-US"/>
        </w:rPr>
        <w:t xml:space="preserve">to </w:t>
      </w:r>
      <w:r w:rsidRPr="003642BD">
        <w:rPr>
          <w:rFonts w:ascii="Times New Roman" w:eastAsia="宋体" w:hAnsi="Times New Roman" w:cs="Times New Roman" w:hint="eastAsia"/>
          <w:b/>
          <w:color w:val="000000"/>
          <w:kern w:val="0"/>
          <w:sz w:val="24"/>
          <w:szCs w:val="24"/>
          <w:lang w:eastAsia="en-US"/>
        </w:rPr>
        <w:t xml:space="preserve">other </w:t>
      </w:r>
      <w:r w:rsidRPr="003642BD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  <w:lang w:eastAsia="en-US"/>
        </w:rPr>
        <w:t>species.</w:t>
      </w:r>
    </w:p>
    <w:p w:rsidR="003642BD" w:rsidRPr="003642BD" w:rsidRDefault="003642BD" w:rsidP="003642BD">
      <w:pPr>
        <w:widowControl/>
        <w:jc w:val="center"/>
        <w:rPr>
          <w:rFonts w:ascii="Calibri" w:eastAsia="宋体" w:hAnsi="Calibri" w:cs="Times New Roman"/>
          <w:kern w:val="0"/>
          <w:sz w:val="24"/>
          <w:szCs w:val="24"/>
          <w:lang w:eastAsia="en-US"/>
        </w:rPr>
      </w:pPr>
      <w:r w:rsidRPr="003642BD">
        <w:rPr>
          <w:rFonts w:ascii="Calibri" w:eastAsia="宋体" w:hAnsi="Calibri" w:cs="Times New Roman"/>
          <w:noProof/>
          <w:kern w:val="0"/>
          <w:sz w:val="24"/>
          <w:szCs w:val="24"/>
        </w:rPr>
        <w:drawing>
          <wp:inline distT="0" distB="0" distL="0" distR="0" wp14:anchorId="53A80E94" wp14:editId="71441CB4">
            <wp:extent cx="3560589" cy="2563491"/>
            <wp:effectExtent l="0" t="0" r="1905" b="889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Venn diagram of number of genes.tiff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70912" cy="25709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642BD" w:rsidRPr="003642BD" w:rsidRDefault="003642BD" w:rsidP="003642BD">
      <w:pPr>
        <w:widowControl/>
        <w:autoSpaceDE w:val="0"/>
        <w:autoSpaceDN w:val="0"/>
        <w:adjustRightInd w:val="0"/>
        <w:snapToGrid w:val="0"/>
        <w:jc w:val="left"/>
        <w:rPr>
          <w:rFonts w:ascii="Times New Roman" w:eastAsia="CaeciliaLTStd-Roman" w:hAnsi="Times New Roman" w:cs="Times New Roman"/>
          <w:b/>
          <w:color w:val="000000"/>
          <w:kern w:val="0"/>
          <w:sz w:val="24"/>
          <w:szCs w:val="24"/>
          <w:lang w:eastAsia="en-US"/>
        </w:rPr>
      </w:pPr>
      <w:r w:rsidRPr="003642BD">
        <w:rPr>
          <w:rFonts w:ascii="Times New Roman" w:eastAsia="CaeciliaLTStd-Roman" w:hAnsi="Times New Roman" w:cs="Times New Roman"/>
          <w:b/>
          <w:color w:val="000000"/>
          <w:kern w:val="0"/>
          <w:sz w:val="24"/>
          <w:szCs w:val="24"/>
          <w:lang w:eastAsia="en-US"/>
        </w:rPr>
        <w:t>Fig. 4. Venn diagram of number of genes with homology or functional classification by each method.</w:t>
      </w:r>
    </w:p>
    <w:p w:rsidR="003642BD" w:rsidRPr="003642BD" w:rsidRDefault="003642BD" w:rsidP="003642BD">
      <w:pPr>
        <w:widowControl/>
        <w:autoSpaceDE w:val="0"/>
        <w:autoSpaceDN w:val="0"/>
        <w:adjustRightInd w:val="0"/>
        <w:snapToGrid w:val="0"/>
        <w:jc w:val="left"/>
        <w:rPr>
          <w:rFonts w:ascii="Times New Roman" w:eastAsia="CaeciliaLTStd-Roman" w:hAnsi="Times New Roman" w:cs="Times New Roman"/>
          <w:b/>
          <w:color w:val="000000"/>
          <w:kern w:val="0"/>
          <w:sz w:val="24"/>
          <w:szCs w:val="24"/>
          <w:lang w:eastAsia="en-US"/>
        </w:rPr>
      </w:pPr>
    </w:p>
    <w:p w:rsidR="003642BD" w:rsidRPr="003642BD" w:rsidRDefault="003642BD" w:rsidP="003642BD">
      <w:pPr>
        <w:widowControl/>
        <w:autoSpaceDE w:val="0"/>
        <w:autoSpaceDN w:val="0"/>
        <w:adjustRightInd w:val="0"/>
        <w:snapToGrid w:val="0"/>
        <w:jc w:val="center"/>
        <w:rPr>
          <w:rFonts w:ascii="Times New Roman" w:eastAsia="CaeciliaLTStd-Roman" w:hAnsi="Times New Roman" w:cs="Times New Roman"/>
          <w:b/>
          <w:color w:val="000000"/>
          <w:kern w:val="0"/>
          <w:sz w:val="24"/>
          <w:szCs w:val="24"/>
          <w:lang w:eastAsia="en-US"/>
        </w:rPr>
      </w:pPr>
      <w:r w:rsidRPr="003642BD">
        <w:rPr>
          <w:rFonts w:ascii="Calibri" w:eastAsia="宋体" w:hAnsi="Calibri" w:cs="Times New Roman"/>
          <w:noProof/>
          <w:kern w:val="0"/>
          <w:sz w:val="24"/>
          <w:szCs w:val="24"/>
          <w:lang w:eastAsia="en-US"/>
        </w:rPr>
        <w:lastRenderedPageBreak/>
        <w:drawing>
          <wp:inline distT="0" distB="0" distL="0" distR="0" wp14:anchorId="5D0E1688" wp14:editId="0083440A">
            <wp:extent cx="3346938" cy="3225376"/>
            <wp:effectExtent l="0" t="0" r="0" b="0"/>
            <wp:docPr id="10" name="图形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>
                      <a:extLs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rcRect l="2895" r="6439" b="5350"/>
                    <a:stretch/>
                  </pic:blipFill>
                  <pic:spPr bwMode="auto">
                    <a:xfrm>
                      <a:off x="0" y="0"/>
                      <a:ext cx="3352075" cy="323032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642BD" w:rsidRPr="003642BD" w:rsidRDefault="003642BD" w:rsidP="003642BD">
      <w:pPr>
        <w:widowControl/>
        <w:autoSpaceDE w:val="0"/>
        <w:autoSpaceDN w:val="0"/>
        <w:adjustRightInd w:val="0"/>
        <w:snapToGrid w:val="0"/>
        <w:jc w:val="left"/>
        <w:rPr>
          <w:rFonts w:ascii="Times New Roman" w:eastAsia="CaeciliaLTStd-Roman" w:hAnsi="Times New Roman" w:cs="Times New Roman"/>
          <w:color w:val="000000"/>
          <w:kern w:val="0"/>
          <w:sz w:val="24"/>
          <w:szCs w:val="24"/>
          <w:lang w:eastAsia="en-US"/>
        </w:rPr>
      </w:pPr>
      <w:r w:rsidRPr="003642BD">
        <w:rPr>
          <w:rFonts w:ascii="Times New Roman" w:eastAsia="CaeciliaLTStd-Roman" w:hAnsi="Times New Roman" w:cs="Times New Roman"/>
          <w:b/>
          <w:color w:val="000000"/>
          <w:kern w:val="0"/>
          <w:sz w:val="24"/>
          <w:szCs w:val="24"/>
          <w:lang w:eastAsia="en-US"/>
        </w:rPr>
        <w:t>Fig. 5. Statistics of gene families among the 14 species.</w:t>
      </w:r>
      <w:r w:rsidRPr="003642BD">
        <w:rPr>
          <w:rFonts w:ascii="Times New Roman" w:eastAsia="CaeciliaLTStd-Roman" w:hAnsi="Times New Roman" w:cs="Times New Roman"/>
          <w:color w:val="000000"/>
          <w:kern w:val="0"/>
          <w:sz w:val="24"/>
          <w:szCs w:val="24"/>
          <w:lang w:eastAsia="en-US"/>
        </w:rPr>
        <w:t xml:space="preserve"> Single-copy and multiple-copy homologs are</w:t>
      </w:r>
      <w:r w:rsidRPr="003642BD">
        <w:rPr>
          <w:rFonts w:ascii="Times New Roman" w:eastAsia="CaeciliaLTStd-Roman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Pr="003642BD">
        <w:rPr>
          <w:rFonts w:ascii="Times New Roman" w:eastAsia="CaeciliaLTStd-Roman" w:hAnsi="Times New Roman" w:cs="Times New Roman"/>
          <w:color w:val="000000"/>
          <w:kern w:val="0"/>
          <w:sz w:val="24"/>
          <w:szCs w:val="24"/>
          <w:lang w:eastAsia="en-US"/>
        </w:rPr>
        <w:t>the families in which each species has only one or more than one copy, respectively. Unique</w:t>
      </w:r>
      <w:r w:rsidRPr="003642BD">
        <w:rPr>
          <w:rFonts w:ascii="Times New Roman" w:eastAsia="CaeciliaLTStd-Roman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Pr="003642BD">
        <w:rPr>
          <w:rFonts w:ascii="Times New Roman" w:eastAsia="CaeciliaLTStd-Roman" w:hAnsi="Times New Roman" w:cs="Times New Roman"/>
          <w:color w:val="000000"/>
          <w:kern w:val="0"/>
          <w:sz w:val="24"/>
          <w:szCs w:val="24"/>
          <w:lang w:eastAsia="en-US"/>
        </w:rPr>
        <w:t>genes show the species-specific families. Other genes are the genes that have matches in</w:t>
      </w:r>
      <w:r w:rsidRPr="003642BD">
        <w:rPr>
          <w:rFonts w:ascii="Times New Roman" w:eastAsia="CaeciliaLTStd-Roman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Pr="003642BD">
        <w:rPr>
          <w:rFonts w:ascii="Times New Roman" w:eastAsia="CaeciliaLTStd-Roman" w:hAnsi="Times New Roman" w:cs="Times New Roman"/>
          <w:color w:val="000000"/>
          <w:kern w:val="0"/>
          <w:sz w:val="24"/>
          <w:szCs w:val="24"/>
          <w:lang w:eastAsia="en-US"/>
        </w:rPr>
        <w:t xml:space="preserve">the other species but cannot be placed into the other orthologue categories. </w:t>
      </w:r>
      <w:proofErr w:type="spellStart"/>
      <w:r w:rsidRPr="003642BD">
        <w:rPr>
          <w:rFonts w:ascii="Times New Roman" w:eastAsia="CaeciliaLTStd-Roman" w:hAnsi="Times New Roman" w:cs="Times New Roman"/>
          <w:color w:val="000000"/>
          <w:kern w:val="0"/>
          <w:sz w:val="24"/>
          <w:szCs w:val="24"/>
          <w:lang w:eastAsia="en-US"/>
        </w:rPr>
        <w:t>Unclustered</w:t>
      </w:r>
      <w:proofErr w:type="spellEnd"/>
      <w:r w:rsidRPr="003642BD">
        <w:rPr>
          <w:rFonts w:ascii="Times New Roman" w:eastAsia="CaeciliaLTStd-Roman" w:hAnsi="Times New Roman" w:cs="Times New Roman"/>
          <w:color w:val="000000"/>
          <w:kern w:val="0"/>
          <w:sz w:val="24"/>
          <w:szCs w:val="24"/>
          <w:lang w:eastAsia="en-US"/>
        </w:rPr>
        <w:t xml:space="preserve"> genes are</w:t>
      </w:r>
      <w:r w:rsidRPr="003642BD">
        <w:rPr>
          <w:rFonts w:ascii="Times New Roman" w:eastAsia="CaeciliaLTStd-Roman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Pr="003642BD">
        <w:rPr>
          <w:rFonts w:ascii="Times New Roman" w:eastAsia="CaeciliaLTStd-Roman" w:hAnsi="Times New Roman" w:cs="Times New Roman"/>
          <w:color w:val="000000"/>
          <w:kern w:val="0"/>
          <w:sz w:val="24"/>
          <w:szCs w:val="24"/>
          <w:lang w:eastAsia="en-US"/>
        </w:rPr>
        <w:t>the genes in each species that cannot be associated with gene predictions in any of the other</w:t>
      </w:r>
      <w:r w:rsidRPr="003642BD">
        <w:rPr>
          <w:rFonts w:ascii="Times New Roman" w:eastAsia="CaeciliaLTStd-Roman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Pr="003642BD">
        <w:rPr>
          <w:rFonts w:ascii="Times New Roman" w:eastAsia="CaeciliaLTStd-Roman" w:hAnsi="Times New Roman" w:cs="Times New Roman"/>
          <w:color w:val="000000"/>
          <w:kern w:val="0"/>
          <w:sz w:val="24"/>
          <w:szCs w:val="24"/>
          <w:lang w:eastAsia="en-US"/>
        </w:rPr>
        <w:t xml:space="preserve">lineages. </w:t>
      </w:r>
    </w:p>
    <w:p w:rsidR="003642BD" w:rsidRPr="003642BD" w:rsidRDefault="003642BD" w:rsidP="003642BD">
      <w:pPr>
        <w:widowControl/>
        <w:autoSpaceDE w:val="0"/>
        <w:autoSpaceDN w:val="0"/>
        <w:adjustRightInd w:val="0"/>
        <w:snapToGrid w:val="0"/>
        <w:jc w:val="center"/>
        <w:rPr>
          <w:rFonts w:ascii="Times New Roman" w:eastAsia="CaeciliaLTStd-Roman" w:hAnsi="Times New Roman" w:cs="Times New Roman"/>
          <w:color w:val="000000"/>
          <w:kern w:val="0"/>
          <w:sz w:val="24"/>
          <w:szCs w:val="24"/>
          <w:lang w:eastAsia="en-US"/>
        </w:rPr>
      </w:pPr>
      <w:r w:rsidRPr="003642BD">
        <w:rPr>
          <w:rFonts w:ascii="Calibri" w:eastAsia="宋体" w:hAnsi="Calibri" w:cs="Times New Roman"/>
          <w:noProof/>
          <w:kern w:val="0"/>
          <w:sz w:val="24"/>
          <w:szCs w:val="24"/>
          <w:lang w:eastAsia="en-US"/>
        </w:rPr>
        <w:drawing>
          <wp:inline distT="0" distB="0" distL="0" distR="0" wp14:anchorId="46D5E4EF" wp14:editId="16BC9299">
            <wp:extent cx="4378289" cy="3883231"/>
            <wp:effectExtent l="0" t="0" r="3810" b="0"/>
            <wp:docPr id="11" name="图形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>
                      <a:extLs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rcRect t="3665" r="3343" b="2636"/>
                    <a:stretch/>
                  </pic:blipFill>
                  <pic:spPr bwMode="auto">
                    <a:xfrm>
                      <a:off x="0" y="0"/>
                      <a:ext cx="4383523" cy="388787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3642BD" w:rsidRPr="003642BD" w:rsidRDefault="003642BD" w:rsidP="003642BD">
      <w:pPr>
        <w:widowControl/>
        <w:autoSpaceDE w:val="0"/>
        <w:autoSpaceDN w:val="0"/>
        <w:adjustRightInd w:val="0"/>
        <w:snapToGrid w:val="0"/>
        <w:jc w:val="center"/>
        <w:rPr>
          <w:rFonts w:ascii="Times New Roman" w:eastAsia="CaeciliaLTStd-Roman" w:hAnsi="Times New Roman" w:cs="Times New Roman"/>
          <w:b/>
          <w:color w:val="000000"/>
          <w:kern w:val="0"/>
          <w:sz w:val="24"/>
          <w:szCs w:val="24"/>
          <w:lang w:eastAsia="en-US"/>
        </w:rPr>
      </w:pPr>
      <w:r w:rsidRPr="003642BD">
        <w:rPr>
          <w:rFonts w:ascii="Times New Roman" w:eastAsia="CaeciliaLTStd-Roman" w:hAnsi="Times New Roman" w:cs="Times New Roman"/>
          <w:b/>
          <w:color w:val="000000"/>
          <w:kern w:val="0"/>
          <w:sz w:val="24"/>
          <w:szCs w:val="24"/>
          <w:lang w:eastAsia="en-US"/>
        </w:rPr>
        <w:t>Fig. 6. Number of gene families shared among 14 species shown as a Venn</w:t>
      </w:r>
      <w:r w:rsidRPr="003642BD">
        <w:rPr>
          <w:rFonts w:ascii="Times New Roman" w:eastAsia="CaeciliaLTStd-Roman" w:hAnsi="Times New Roman" w:cs="Times New Roman" w:hint="eastAsia"/>
          <w:b/>
          <w:color w:val="000000"/>
          <w:kern w:val="0"/>
          <w:sz w:val="24"/>
          <w:szCs w:val="24"/>
        </w:rPr>
        <w:t xml:space="preserve"> </w:t>
      </w:r>
      <w:r w:rsidRPr="003642BD">
        <w:rPr>
          <w:rFonts w:ascii="Times New Roman" w:eastAsia="CaeciliaLTStd-Roman" w:hAnsi="Times New Roman" w:cs="Times New Roman"/>
          <w:b/>
          <w:color w:val="000000"/>
          <w:kern w:val="0"/>
          <w:sz w:val="24"/>
          <w:szCs w:val="24"/>
          <w:lang w:eastAsia="en-US"/>
        </w:rPr>
        <w:t>diagram.</w:t>
      </w:r>
    </w:p>
    <w:p w:rsidR="003642BD" w:rsidRPr="003642BD" w:rsidRDefault="003642BD" w:rsidP="003642BD">
      <w:pPr>
        <w:widowControl/>
        <w:jc w:val="center"/>
        <w:rPr>
          <w:rFonts w:ascii="Calibri" w:eastAsia="宋体" w:hAnsi="Calibri" w:cs="Times New Roman"/>
          <w:kern w:val="0"/>
          <w:sz w:val="24"/>
          <w:szCs w:val="24"/>
          <w:lang w:eastAsia="en-US"/>
        </w:rPr>
      </w:pPr>
      <w:r w:rsidRPr="003642BD">
        <w:rPr>
          <w:rFonts w:ascii="Calibri" w:eastAsia="宋体" w:hAnsi="Calibri" w:cs="Times New Roman"/>
          <w:noProof/>
          <w:kern w:val="0"/>
          <w:sz w:val="24"/>
          <w:szCs w:val="24"/>
        </w:rPr>
        <w:lastRenderedPageBreak/>
        <w:drawing>
          <wp:inline distT="0" distB="0" distL="0" distR="0" wp14:anchorId="5B50BA7E" wp14:editId="430F557B">
            <wp:extent cx="4060490" cy="3390900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6107" cy="34122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642BD" w:rsidRPr="003642BD" w:rsidRDefault="003642BD" w:rsidP="003642BD">
      <w:pPr>
        <w:widowControl/>
        <w:jc w:val="center"/>
        <w:rPr>
          <w:rFonts w:ascii="Calibri" w:eastAsia="宋体" w:hAnsi="Calibri" w:cs="Times New Roman"/>
          <w:kern w:val="0"/>
          <w:sz w:val="24"/>
          <w:szCs w:val="24"/>
          <w:lang w:eastAsia="en-US"/>
        </w:rPr>
      </w:pPr>
    </w:p>
    <w:p w:rsidR="003642BD" w:rsidRPr="003642BD" w:rsidRDefault="003642BD" w:rsidP="003642BD">
      <w:pPr>
        <w:widowControl/>
        <w:autoSpaceDE w:val="0"/>
        <w:autoSpaceDN w:val="0"/>
        <w:adjustRightInd w:val="0"/>
        <w:snapToGrid w:val="0"/>
        <w:jc w:val="left"/>
        <w:rPr>
          <w:rFonts w:ascii="Times New Roman" w:eastAsia="CaeciliaLTStd-Roman" w:hAnsi="Times New Roman" w:cs="Times New Roman"/>
          <w:color w:val="000000"/>
          <w:kern w:val="0"/>
          <w:sz w:val="24"/>
          <w:szCs w:val="24"/>
          <w:lang w:eastAsia="en-US"/>
        </w:rPr>
      </w:pPr>
      <w:r w:rsidRPr="003642BD">
        <w:rPr>
          <w:rFonts w:ascii="Times New Roman" w:eastAsia="CaeciliaLTStd-Roman" w:hAnsi="Times New Roman" w:cs="Times New Roman"/>
          <w:b/>
          <w:color w:val="000000"/>
          <w:kern w:val="0"/>
          <w:sz w:val="24"/>
          <w:szCs w:val="24"/>
          <w:lang w:eastAsia="en-US"/>
        </w:rPr>
        <w:t xml:space="preserve">Fig. 7. The phylogenetic tree of 14 species based on gene </w:t>
      </w:r>
      <w:proofErr w:type="spellStart"/>
      <w:r w:rsidRPr="003642BD">
        <w:rPr>
          <w:rFonts w:ascii="Times New Roman" w:eastAsia="CaeciliaLTStd-Roman" w:hAnsi="Times New Roman" w:cs="Times New Roman"/>
          <w:b/>
          <w:color w:val="000000"/>
          <w:kern w:val="0"/>
          <w:sz w:val="24"/>
          <w:szCs w:val="24"/>
          <w:lang w:eastAsia="en-US"/>
        </w:rPr>
        <w:t>orthology</w:t>
      </w:r>
      <w:proofErr w:type="spellEnd"/>
      <w:r w:rsidRPr="003642BD">
        <w:rPr>
          <w:rFonts w:ascii="Times New Roman" w:eastAsia="CaeciliaLTStd-Roman" w:hAnsi="Times New Roman" w:cs="Times New Roman"/>
          <w:b/>
          <w:color w:val="000000"/>
          <w:kern w:val="0"/>
          <w:sz w:val="24"/>
          <w:szCs w:val="24"/>
          <w:lang w:eastAsia="en-US"/>
        </w:rPr>
        <w:t xml:space="preserve">. </w:t>
      </w:r>
      <w:r w:rsidRPr="003642BD">
        <w:rPr>
          <w:rFonts w:ascii="Times New Roman" w:eastAsia="CaeciliaLTStd-Roman" w:hAnsi="Times New Roman" w:cs="Times New Roman"/>
          <w:color w:val="000000"/>
          <w:kern w:val="0"/>
          <w:sz w:val="24"/>
          <w:szCs w:val="24"/>
          <w:lang w:eastAsia="en-US"/>
        </w:rPr>
        <w:t>The bootstrap values are shown on the branches.</w:t>
      </w:r>
    </w:p>
    <w:p w:rsidR="003642BD" w:rsidRPr="003642BD" w:rsidRDefault="003642BD" w:rsidP="003642BD">
      <w:pPr>
        <w:widowControl/>
        <w:jc w:val="left"/>
        <w:rPr>
          <w:rFonts w:ascii="Calibri" w:eastAsia="宋体" w:hAnsi="Calibri" w:cs="Times New Roman"/>
          <w:kern w:val="0"/>
          <w:sz w:val="24"/>
          <w:szCs w:val="24"/>
          <w:lang w:eastAsia="en-US"/>
        </w:rPr>
      </w:pPr>
    </w:p>
    <w:p w:rsidR="003642BD" w:rsidRPr="003642BD" w:rsidRDefault="003642BD" w:rsidP="003642BD">
      <w:pPr>
        <w:widowControl/>
        <w:jc w:val="left"/>
        <w:rPr>
          <w:rFonts w:ascii="Calibri" w:eastAsia="宋体" w:hAnsi="Calibri" w:cs="Times New Roman"/>
          <w:kern w:val="0"/>
          <w:sz w:val="24"/>
          <w:szCs w:val="24"/>
          <w:lang w:eastAsia="en-US"/>
        </w:rPr>
      </w:pPr>
      <w:r w:rsidRPr="003642BD">
        <w:rPr>
          <w:rFonts w:ascii="Calibri" w:eastAsia="宋体" w:hAnsi="Calibri" w:cs="Times New Roman"/>
          <w:noProof/>
          <w:kern w:val="0"/>
          <w:sz w:val="24"/>
          <w:szCs w:val="24"/>
          <w:lang w:eastAsia="en-US"/>
        </w:rPr>
        <w:drawing>
          <wp:inline distT="0" distB="0" distL="0" distR="0" wp14:anchorId="3E4F2421" wp14:editId="7D29D4A9">
            <wp:extent cx="5595257" cy="3396342"/>
            <wp:effectExtent l="0" t="0" r="5715" b="0"/>
            <wp:docPr id="14" name="图表 14">
              <a:extLst xmlns:a="http://schemas.openxmlformats.org/drawingml/2006/main">
                <a:ext uri="{FF2B5EF4-FFF2-40B4-BE49-F238E27FC236}">
                  <a16:creationId xmlns:a16="http://schemas.microsoft.com/office/drawing/2014/main" id="{6559ACDA-6E4F-4D7B-8412-DC099E825F0B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:rsidR="003642BD" w:rsidRPr="003642BD" w:rsidRDefault="003642BD" w:rsidP="003642BD">
      <w:pPr>
        <w:widowControl/>
        <w:jc w:val="left"/>
        <w:rPr>
          <w:rFonts w:ascii="Times New Roman" w:eastAsia="CaeciliaLTStd-Roman" w:hAnsi="Times New Roman" w:cs="Times New Roman"/>
          <w:b/>
          <w:color w:val="000000"/>
          <w:kern w:val="0"/>
          <w:sz w:val="24"/>
          <w:szCs w:val="24"/>
          <w:lang w:eastAsia="en-US"/>
        </w:rPr>
      </w:pPr>
      <w:r w:rsidRPr="003642BD">
        <w:rPr>
          <w:rFonts w:ascii="Times New Roman" w:eastAsia="CaeciliaLTStd-Roman" w:hAnsi="Times New Roman" w:cs="Times New Roman"/>
          <w:b/>
          <w:color w:val="000000"/>
          <w:kern w:val="0"/>
          <w:sz w:val="24"/>
          <w:szCs w:val="24"/>
          <w:lang w:eastAsia="en-US"/>
        </w:rPr>
        <w:t>Fig. 8. 4dTv analyses</w:t>
      </w:r>
      <w:r w:rsidRPr="003642BD">
        <w:rPr>
          <w:rFonts w:ascii="Calibri" w:eastAsia="宋体" w:hAnsi="Calibri" w:cs="Times New Roman"/>
          <w:kern w:val="0"/>
          <w:sz w:val="24"/>
          <w:szCs w:val="24"/>
          <w:lang w:eastAsia="en-US"/>
        </w:rPr>
        <w:t xml:space="preserve"> </w:t>
      </w:r>
      <w:r w:rsidRPr="003642BD">
        <w:rPr>
          <w:rFonts w:ascii="Times New Roman" w:eastAsia="CaeciliaLTStd-Roman" w:hAnsi="Times New Roman" w:cs="Times New Roman"/>
          <w:b/>
          <w:color w:val="000000"/>
          <w:kern w:val="0"/>
          <w:sz w:val="24"/>
          <w:szCs w:val="24"/>
          <w:lang w:eastAsia="en-US"/>
        </w:rPr>
        <w:t xml:space="preserve">among colinear genes, within (continuous lines) and between genomes (dashed).  </w:t>
      </w:r>
    </w:p>
    <w:p w:rsidR="003642BD" w:rsidRPr="003642BD" w:rsidRDefault="003642BD" w:rsidP="003642BD">
      <w:pPr>
        <w:widowControl/>
        <w:adjustRightInd w:val="0"/>
        <w:snapToGrid w:val="0"/>
        <w:spacing w:line="480" w:lineRule="auto"/>
        <w:jc w:val="center"/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  <w:lang w:eastAsia="en-US"/>
        </w:rPr>
      </w:pPr>
      <w:r w:rsidRPr="003642BD">
        <w:rPr>
          <w:rFonts w:ascii="Times New Roman" w:eastAsia="宋体" w:hAnsi="Times New Roman" w:cs="Times New Roman"/>
          <w:b/>
          <w:bCs/>
          <w:noProof/>
          <w:color w:val="000000"/>
          <w:kern w:val="0"/>
          <w:sz w:val="24"/>
          <w:szCs w:val="24"/>
          <w:lang w:eastAsia="en-US"/>
        </w:rPr>
        <w:lastRenderedPageBreak/>
        <w:drawing>
          <wp:inline distT="0" distB="0" distL="0" distR="0" wp14:anchorId="48D04CF5" wp14:editId="7A252CB1">
            <wp:extent cx="5040000" cy="8735120"/>
            <wp:effectExtent l="0" t="0" r="8255" b="889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globin_aligned_页面_1.jpg"/>
                    <pic:cNvPicPr/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859" t="8649" r="17489" b="8440"/>
                    <a:stretch/>
                  </pic:blipFill>
                  <pic:spPr bwMode="auto">
                    <a:xfrm>
                      <a:off x="0" y="0"/>
                      <a:ext cx="5040000" cy="87351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642BD" w:rsidRPr="003642BD" w:rsidRDefault="003642BD" w:rsidP="003642BD">
      <w:pPr>
        <w:widowControl/>
        <w:adjustRightInd w:val="0"/>
        <w:snapToGrid w:val="0"/>
        <w:spacing w:line="480" w:lineRule="auto"/>
        <w:jc w:val="center"/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  <w:lang w:eastAsia="en-US"/>
        </w:rPr>
      </w:pPr>
      <w:r w:rsidRPr="003642BD">
        <w:rPr>
          <w:rFonts w:ascii="Times New Roman" w:eastAsia="宋体" w:hAnsi="Times New Roman" w:cs="Times New Roman"/>
          <w:b/>
          <w:bCs/>
          <w:noProof/>
          <w:color w:val="000000"/>
          <w:kern w:val="0"/>
          <w:sz w:val="24"/>
          <w:szCs w:val="24"/>
          <w:lang w:eastAsia="en-US"/>
        </w:rPr>
        <w:lastRenderedPageBreak/>
        <w:drawing>
          <wp:inline distT="0" distB="0" distL="0" distR="0" wp14:anchorId="7F306C65" wp14:editId="7FBB66AF">
            <wp:extent cx="5040000" cy="8719819"/>
            <wp:effectExtent l="0" t="0" r="8255" b="571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globin_aligned_页面_2.jpg"/>
                    <pic:cNvPicPr/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941" t="8707" r="17570" b="8727"/>
                    <a:stretch/>
                  </pic:blipFill>
                  <pic:spPr bwMode="auto">
                    <a:xfrm>
                      <a:off x="0" y="0"/>
                      <a:ext cx="5040000" cy="871981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642BD" w:rsidRPr="003642BD" w:rsidRDefault="003642BD" w:rsidP="003642BD">
      <w:pPr>
        <w:widowControl/>
        <w:adjustRightInd w:val="0"/>
        <w:snapToGrid w:val="0"/>
        <w:spacing w:line="480" w:lineRule="auto"/>
        <w:jc w:val="center"/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  <w:lang w:eastAsia="en-US"/>
        </w:rPr>
      </w:pPr>
      <w:r w:rsidRPr="003642BD">
        <w:rPr>
          <w:rFonts w:ascii="Times New Roman" w:eastAsia="宋体" w:hAnsi="Times New Roman" w:cs="Times New Roman"/>
          <w:b/>
          <w:bCs/>
          <w:noProof/>
          <w:color w:val="000000"/>
          <w:kern w:val="0"/>
          <w:sz w:val="24"/>
          <w:szCs w:val="24"/>
          <w:lang w:eastAsia="en-US"/>
        </w:rPr>
        <w:lastRenderedPageBreak/>
        <w:drawing>
          <wp:inline distT="0" distB="0" distL="0" distR="0" wp14:anchorId="535F3B7D" wp14:editId="077A0441">
            <wp:extent cx="5040000" cy="6120801"/>
            <wp:effectExtent l="0" t="0" r="8255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globin_aligned_页面_3.jpg"/>
                    <pic:cNvPicPr/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022" t="8649" r="24064" b="39041"/>
                    <a:stretch/>
                  </pic:blipFill>
                  <pic:spPr bwMode="auto">
                    <a:xfrm>
                      <a:off x="0" y="0"/>
                      <a:ext cx="5040000" cy="612080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642BD" w:rsidRPr="003642BD" w:rsidRDefault="003642BD" w:rsidP="003642BD">
      <w:pPr>
        <w:widowControl/>
        <w:adjustRightInd w:val="0"/>
        <w:snapToGrid w:val="0"/>
        <w:jc w:val="left"/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  <w:lang w:eastAsia="en-US"/>
        </w:rPr>
      </w:pPr>
      <w:r w:rsidRPr="003642BD">
        <w:rPr>
          <w:rFonts w:ascii="Times New Roman" w:eastAsia="CaeciliaLTStd-Roman" w:hAnsi="Times New Roman" w:cs="Times New Roman"/>
          <w:b/>
          <w:color w:val="000000"/>
          <w:kern w:val="0"/>
          <w:sz w:val="24"/>
          <w:szCs w:val="24"/>
          <w:lang w:eastAsia="en-US"/>
        </w:rPr>
        <w:t xml:space="preserve">Fig. 9. Nucleotide alignment of all </w:t>
      </w:r>
      <w:r w:rsidRPr="003642BD"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4"/>
          <w:szCs w:val="24"/>
          <w:lang w:eastAsia="en-US"/>
        </w:rPr>
        <w:t xml:space="preserve">G. </w:t>
      </w:r>
      <w:proofErr w:type="spellStart"/>
      <w:r w:rsidRPr="003642BD"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4"/>
          <w:szCs w:val="24"/>
          <w:lang w:eastAsia="en-US"/>
        </w:rPr>
        <w:t>eckloni</w:t>
      </w:r>
      <w:proofErr w:type="spellEnd"/>
      <w:r w:rsidRPr="003642BD">
        <w:rPr>
          <w:rFonts w:ascii="Times New Roman" w:eastAsia="CaeciliaLTStd-Roman" w:hAnsi="Times New Roman" w:cs="Times New Roman"/>
          <w:b/>
          <w:color w:val="000000"/>
          <w:kern w:val="0"/>
          <w:sz w:val="24"/>
          <w:szCs w:val="24"/>
          <w:lang w:eastAsia="en-US"/>
        </w:rPr>
        <w:t xml:space="preserve"> and </w:t>
      </w:r>
      <w:r w:rsidRPr="003642BD"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4"/>
          <w:szCs w:val="24"/>
          <w:lang w:eastAsia="en-US"/>
        </w:rPr>
        <w:t>D. rerio</w:t>
      </w:r>
      <w:r w:rsidRPr="003642BD">
        <w:rPr>
          <w:rFonts w:ascii="Times New Roman" w:eastAsia="CaeciliaLTStd-Roman" w:hAnsi="Times New Roman" w:cs="Times New Roman" w:hint="eastAsia"/>
          <w:b/>
          <w:color w:val="000000"/>
          <w:kern w:val="0"/>
          <w:sz w:val="24"/>
          <w:szCs w:val="24"/>
        </w:rPr>
        <w:t xml:space="preserve"> </w:t>
      </w:r>
      <w:r w:rsidRPr="003642BD">
        <w:rPr>
          <w:rFonts w:ascii="Times New Roman" w:eastAsia="CaeciliaLTStd-Roman" w:hAnsi="Times New Roman" w:cs="Times New Roman"/>
          <w:b/>
          <w:color w:val="000000"/>
          <w:kern w:val="0"/>
          <w:sz w:val="24"/>
          <w:szCs w:val="24"/>
          <w:lang w:eastAsia="en-US"/>
        </w:rPr>
        <w:t xml:space="preserve">globin gene sequences. </w:t>
      </w:r>
      <w:bookmarkStart w:id="1" w:name="_Hlk92197530"/>
      <w:r w:rsidRPr="003642BD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  <w:lang w:eastAsia="en-US"/>
        </w:rPr>
        <w:t>Ge_hbae1.3</w:t>
      </w:r>
      <w:bookmarkEnd w:id="1"/>
      <w:r w:rsidRPr="003642BD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  <w:lang w:eastAsia="en-US"/>
        </w:rPr>
        <w:t xml:space="preserve"> and Ge</w:t>
      </w:r>
      <w:r w:rsidRPr="003642BD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  <w:u w:val="single"/>
          <w:lang w:eastAsia="en-US"/>
        </w:rPr>
        <w:t>_</w:t>
      </w:r>
      <w:r w:rsidRPr="003642BD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  <w:lang w:eastAsia="en-US"/>
        </w:rPr>
        <w:t>hbbe1.3 were not</w:t>
      </w:r>
      <w:r w:rsidRPr="003642BD">
        <w:rPr>
          <w:rFonts w:ascii="Times New Roman" w:eastAsia="宋体" w:hAnsi="Times New Roman" w:cs="Times New Roman" w:hint="eastAsia"/>
          <w:bCs/>
          <w:color w:val="000000"/>
          <w:kern w:val="0"/>
          <w:sz w:val="24"/>
          <w:szCs w:val="24"/>
        </w:rPr>
        <w:t xml:space="preserve"> </w:t>
      </w:r>
      <w:r w:rsidRPr="003642BD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  <w:lang w:eastAsia="en-US"/>
        </w:rPr>
        <w:t>included because of premature stop codons.</w:t>
      </w:r>
    </w:p>
    <w:p w:rsidR="00CB1BA0" w:rsidRPr="003642BD" w:rsidRDefault="00CB1BA0"/>
    <w:sectPr w:rsidR="00CB1BA0" w:rsidRPr="003642B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eciliaLTStd-Roman">
    <w:altName w:val="宋体"/>
    <w:charset w:val="86"/>
    <w:family w:val="auto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42BD"/>
    <w:rsid w:val="003642BD"/>
    <w:rsid w:val="00CB1BA0"/>
    <w:rsid w:val="00E433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464C2D"/>
  <w15:chartTrackingRefBased/>
  <w15:docId w15:val="{7D919E91-3C1B-4921-9325-4A5F7EF8BC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chart" Target="charts/chart1.xml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12" Type="http://schemas.openxmlformats.org/officeDocument/2006/relationships/image" Target="media/image9.emf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2.jpg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image" Target="media/image8.svg"/><Relationship Id="rId5" Type="http://schemas.openxmlformats.org/officeDocument/2006/relationships/image" Target="media/image2.png"/><Relationship Id="rId15" Type="http://schemas.openxmlformats.org/officeDocument/2006/relationships/image" Target="media/image11.jp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svg"/><Relationship Id="rId14" Type="http://schemas.openxmlformats.org/officeDocument/2006/relationships/image" Target="media/image10.jp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oleObject" Target="file:///D:\&#31185;&#30740;1\2019&#24180;&#20840;&#22522;&#22240;&#32452;&#27979;&#24207;\&#35834;&#21644;\&#35770;&#25991;\figs\4dtv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0350227807302868"/>
          <c:y val="3.8778019880382084E-2"/>
          <c:w val="0.86651484450448213"/>
          <c:h val="0.81777513824757919"/>
        </c:manualLayout>
      </c:layout>
      <c:lineChart>
        <c:grouping val="standard"/>
        <c:varyColors val="0"/>
        <c:ser>
          <c:idx val="0"/>
          <c:order val="0"/>
          <c:tx>
            <c:strRef>
              <c:f>total.com0.02.rate.4dtv!$A$2</c:f>
              <c:strCache>
                <c:ptCount val="1"/>
                <c:pt idx="0">
                  <c:v>Cca-Cca</c:v>
                </c:pt>
              </c:strCache>
            </c:strRef>
          </c:tx>
          <c:spPr>
            <a:ln w="12700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dPt>
            <c:idx val="3"/>
            <c:marker>
              <c:symbol val="none"/>
            </c:marker>
            <c:bubble3D val="0"/>
            <c:spPr>
              <a:ln w="12700" cap="rnd">
                <a:solidFill>
                  <a:schemeClr val="accent1"/>
                </a:solidFill>
                <a:round/>
              </a:ln>
              <a:effectLst/>
            </c:spPr>
            <c:extLst>
              <c:ext xmlns:c16="http://schemas.microsoft.com/office/drawing/2014/chart" uri="{C3380CC4-5D6E-409C-BE32-E72D297353CC}">
                <c16:uniqueId val="{00000001-38ED-4185-9E1F-1A654C29A08E}"/>
              </c:ext>
            </c:extLst>
          </c:dPt>
          <c:cat>
            <c:numRef>
              <c:f>total.com0.02.rate.4dtv!$B$1:$AL$1</c:f>
              <c:numCache>
                <c:formatCode>General</c:formatCode>
                <c:ptCount val="37"/>
                <c:pt idx="0">
                  <c:v>0</c:v>
                </c:pt>
                <c:pt idx="1">
                  <c:v>0.02</c:v>
                </c:pt>
                <c:pt idx="2">
                  <c:v>0.04</c:v>
                </c:pt>
                <c:pt idx="3">
                  <c:v>0.06</c:v>
                </c:pt>
                <c:pt idx="4">
                  <c:v>0.08</c:v>
                </c:pt>
                <c:pt idx="5">
                  <c:v>0.1</c:v>
                </c:pt>
                <c:pt idx="6">
                  <c:v>0.12</c:v>
                </c:pt>
                <c:pt idx="7">
                  <c:v>0.14000000000000001</c:v>
                </c:pt>
                <c:pt idx="8">
                  <c:v>0.16</c:v>
                </c:pt>
                <c:pt idx="9">
                  <c:v>0.18</c:v>
                </c:pt>
                <c:pt idx="10">
                  <c:v>0.2</c:v>
                </c:pt>
                <c:pt idx="11">
                  <c:v>0.22</c:v>
                </c:pt>
                <c:pt idx="12">
                  <c:v>0.24</c:v>
                </c:pt>
                <c:pt idx="13">
                  <c:v>0.26</c:v>
                </c:pt>
                <c:pt idx="14">
                  <c:v>0.28000000000000003</c:v>
                </c:pt>
                <c:pt idx="15">
                  <c:v>0.3</c:v>
                </c:pt>
                <c:pt idx="16">
                  <c:v>0.32</c:v>
                </c:pt>
                <c:pt idx="17">
                  <c:v>0.34</c:v>
                </c:pt>
                <c:pt idx="18">
                  <c:v>0.36</c:v>
                </c:pt>
                <c:pt idx="19">
                  <c:v>0.38</c:v>
                </c:pt>
                <c:pt idx="20">
                  <c:v>0.4</c:v>
                </c:pt>
                <c:pt idx="21">
                  <c:v>0.42</c:v>
                </c:pt>
                <c:pt idx="22">
                  <c:v>0.44</c:v>
                </c:pt>
                <c:pt idx="23">
                  <c:v>0.46</c:v>
                </c:pt>
                <c:pt idx="24">
                  <c:v>0.48</c:v>
                </c:pt>
                <c:pt idx="25">
                  <c:v>0.5</c:v>
                </c:pt>
                <c:pt idx="26">
                  <c:v>0.52</c:v>
                </c:pt>
                <c:pt idx="27">
                  <c:v>0.54</c:v>
                </c:pt>
                <c:pt idx="28">
                  <c:v>0.56000000000000005</c:v>
                </c:pt>
                <c:pt idx="29">
                  <c:v>0.57999999999999996</c:v>
                </c:pt>
                <c:pt idx="30">
                  <c:v>0.6</c:v>
                </c:pt>
                <c:pt idx="31">
                  <c:v>0.62</c:v>
                </c:pt>
                <c:pt idx="32">
                  <c:v>0.64</c:v>
                </c:pt>
                <c:pt idx="33">
                  <c:v>0.66</c:v>
                </c:pt>
                <c:pt idx="34">
                  <c:v>0.68</c:v>
                </c:pt>
                <c:pt idx="35">
                  <c:v>0.7</c:v>
                </c:pt>
                <c:pt idx="36">
                  <c:v>0.72</c:v>
                </c:pt>
              </c:numCache>
            </c:numRef>
          </c:cat>
          <c:val>
            <c:numRef>
              <c:f>total.com0.02.rate.4dtv!$B$2:$AL$2</c:f>
              <c:numCache>
                <c:formatCode>General</c:formatCode>
                <c:ptCount val="37"/>
                <c:pt idx="0">
                  <c:v>2.4</c:v>
                </c:pt>
                <c:pt idx="1">
                  <c:v>1.6</c:v>
                </c:pt>
                <c:pt idx="2">
                  <c:v>14</c:v>
                </c:pt>
                <c:pt idx="3">
                  <c:v>45.4</c:v>
                </c:pt>
                <c:pt idx="4">
                  <c:v>17.2</c:v>
                </c:pt>
                <c:pt idx="5">
                  <c:v>3.5</c:v>
                </c:pt>
                <c:pt idx="6">
                  <c:v>10.5</c:v>
                </c:pt>
                <c:pt idx="7">
                  <c:v>0</c:v>
                </c:pt>
                <c:pt idx="8">
                  <c:v>0</c:v>
                </c:pt>
                <c:pt idx="9">
                  <c:v>1.6</c:v>
                </c:pt>
                <c:pt idx="10">
                  <c:v>1.9</c:v>
                </c:pt>
                <c:pt idx="11">
                  <c:v>0</c:v>
                </c:pt>
                <c:pt idx="12">
                  <c:v>0</c:v>
                </c:pt>
                <c:pt idx="13">
                  <c:v>0</c:v>
                </c:pt>
                <c:pt idx="14">
                  <c:v>0</c:v>
                </c:pt>
                <c:pt idx="15">
                  <c:v>0</c:v>
                </c:pt>
                <c:pt idx="16">
                  <c:v>0</c:v>
                </c:pt>
                <c:pt idx="17">
                  <c:v>0</c:v>
                </c:pt>
                <c:pt idx="18">
                  <c:v>0</c:v>
                </c:pt>
                <c:pt idx="19">
                  <c:v>0</c:v>
                </c:pt>
                <c:pt idx="20">
                  <c:v>0</c:v>
                </c:pt>
                <c:pt idx="21">
                  <c:v>0</c:v>
                </c:pt>
                <c:pt idx="22">
                  <c:v>0</c:v>
                </c:pt>
                <c:pt idx="23">
                  <c:v>0</c:v>
                </c:pt>
                <c:pt idx="24">
                  <c:v>0</c:v>
                </c:pt>
                <c:pt idx="25">
                  <c:v>0</c:v>
                </c:pt>
                <c:pt idx="26">
                  <c:v>0</c:v>
                </c:pt>
                <c:pt idx="27">
                  <c:v>0</c:v>
                </c:pt>
                <c:pt idx="28">
                  <c:v>0</c:v>
                </c:pt>
                <c:pt idx="29">
                  <c:v>0</c:v>
                </c:pt>
                <c:pt idx="30">
                  <c:v>0</c:v>
                </c:pt>
                <c:pt idx="31">
                  <c:v>0</c:v>
                </c:pt>
                <c:pt idx="32">
                  <c:v>0</c:v>
                </c:pt>
                <c:pt idx="33">
                  <c:v>0</c:v>
                </c:pt>
                <c:pt idx="34">
                  <c:v>0</c:v>
                </c:pt>
                <c:pt idx="35">
                  <c:v>0</c:v>
                </c:pt>
                <c:pt idx="36">
                  <c:v>1.9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38ED-4185-9E1F-1A654C29A08E}"/>
            </c:ext>
          </c:extLst>
        </c:ser>
        <c:ser>
          <c:idx val="1"/>
          <c:order val="1"/>
          <c:tx>
            <c:strRef>
              <c:f>total.com0.02.rate.4dtv!$A$3</c:f>
              <c:strCache>
                <c:ptCount val="1"/>
                <c:pt idx="0">
                  <c:v>Cca-Dre</c:v>
                </c:pt>
              </c:strCache>
            </c:strRef>
          </c:tx>
          <c:spPr>
            <a:ln w="12700" cap="rnd">
              <a:solidFill>
                <a:srgbClr val="00B050"/>
              </a:solidFill>
              <a:prstDash val="sysDash"/>
              <a:round/>
            </a:ln>
            <a:effectLst/>
          </c:spPr>
          <c:marker>
            <c:symbol val="none"/>
          </c:marker>
          <c:cat>
            <c:numRef>
              <c:f>total.com0.02.rate.4dtv!$B$1:$AL$1</c:f>
              <c:numCache>
                <c:formatCode>General</c:formatCode>
                <c:ptCount val="37"/>
                <c:pt idx="0">
                  <c:v>0</c:v>
                </c:pt>
                <c:pt idx="1">
                  <c:v>0.02</c:v>
                </c:pt>
                <c:pt idx="2">
                  <c:v>0.04</c:v>
                </c:pt>
                <c:pt idx="3">
                  <c:v>0.06</c:v>
                </c:pt>
                <c:pt idx="4">
                  <c:v>0.08</c:v>
                </c:pt>
                <c:pt idx="5">
                  <c:v>0.1</c:v>
                </c:pt>
                <c:pt idx="6">
                  <c:v>0.12</c:v>
                </c:pt>
                <c:pt idx="7">
                  <c:v>0.14000000000000001</c:v>
                </c:pt>
                <c:pt idx="8">
                  <c:v>0.16</c:v>
                </c:pt>
                <c:pt idx="9">
                  <c:v>0.18</c:v>
                </c:pt>
                <c:pt idx="10">
                  <c:v>0.2</c:v>
                </c:pt>
                <c:pt idx="11">
                  <c:v>0.22</c:v>
                </c:pt>
                <c:pt idx="12">
                  <c:v>0.24</c:v>
                </c:pt>
                <c:pt idx="13">
                  <c:v>0.26</c:v>
                </c:pt>
                <c:pt idx="14">
                  <c:v>0.28000000000000003</c:v>
                </c:pt>
                <c:pt idx="15">
                  <c:v>0.3</c:v>
                </c:pt>
                <c:pt idx="16">
                  <c:v>0.32</c:v>
                </c:pt>
                <c:pt idx="17">
                  <c:v>0.34</c:v>
                </c:pt>
                <c:pt idx="18">
                  <c:v>0.36</c:v>
                </c:pt>
                <c:pt idx="19">
                  <c:v>0.38</c:v>
                </c:pt>
                <c:pt idx="20">
                  <c:v>0.4</c:v>
                </c:pt>
                <c:pt idx="21">
                  <c:v>0.42</c:v>
                </c:pt>
                <c:pt idx="22">
                  <c:v>0.44</c:v>
                </c:pt>
                <c:pt idx="23">
                  <c:v>0.46</c:v>
                </c:pt>
                <c:pt idx="24">
                  <c:v>0.48</c:v>
                </c:pt>
                <c:pt idx="25">
                  <c:v>0.5</c:v>
                </c:pt>
                <c:pt idx="26">
                  <c:v>0.52</c:v>
                </c:pt>
                <c:pt idx="27">
                  <c:v>0.54</c:v>
                </c:pt>
                <c:pt idx="28">
                  <c:v>0.56000000000000005</c:v>
                </c:pt>
                <c:pt idx="29">
                  <c:v>0.57999999999999996</c:v>
                </c:pt>
                <c:pt idx="30">
                  <c:v>0.6</c:v>
                </c:pt>
                <c:pt idx="31">
                  <c:v>0.62</c:v>
                </c:pt>
                <c:pt idx="32">
                  <c:v>0.64</c:v>
                </c:pt>
                <c:pt idx="33">
                  <c:v>0.66</c:v>
                </c:pt>
                <c:pt idx="34">
                  <c:v>0.68</c:v>
                </c:pt>
                <c:pt idx="35">
                  <c:v>0.7</c:v>
                </c:pt>
                <c:pt idx="36">
                  <c:v>0.72</c:v>
                </c:pt>
              </c:numCache>
            </c:numRef>
          </c:cat>
          <c:val>
            <c:numRef>
              <c:f>total.com0.02.rate.4dtv!$B$3:$AL$3</c:f>
              <c:numCache>
                <c:formatCode>General</c:formatCode>
                <c:ptCount val="37"/>
                <c:pt idx="0">
                  <c:v>0</c:v>
                </c:pt>
                <c:pt idx="1">
                  <c:v>0</c:v>
                </c:pt>
                <c:pt idx="2">
                  <c:v>0.1</c:v>
                </c:pt>
                <c:pt idx="3">
                  <c:v>0</c:v>
                </c:pt>
                <c:pt idx="4">
                  <c:v>0.3</c:v>
                </c:pt>
                <c:pt idx="5">
                  <c:v>0.5</c:v>
                </c:pt>
                <c:pt idx="6">
                  <c:v>7.9</c:v>
                </c:pt>
                <c:pt idx="7">
                  <c:v>24.9</c:v>
                </c:pt>
                <c:pt idx="8">
                  <c:v>28.5</c:v>
                </c:pt>
                <c:pt idx="9">
                  <c:v>16.600000000000001</c:v>
                </c:pt>
                <c:pt idx="10">
                  <c:v>7.4</c:v>
                </c:pt>
                <c:pt idx="11">
                  <c:v>4.3</c:v>
                </c:pt>
                <c:pt idx="12">
                  <c:v>3</c:v>
                </c:pt>
                <c:pt idx="13">
                  <c:v>1</c:v>
                </c:pt>
                <c:pt idx="14">
                  <c:v>1.1000000000000001</c:v>
                </c:pt>
                <c:pt idx="15">
                  <c:v>0.5</c:v>
                </c:pt>
                <c:pt idx="16">
                  <c:v>0.3</c:v>
                </c:pt>
                <c:pt idx="17">
                  <c:v>0.5</c:v>
                </c:pt>
                <c:pt idx="18">
                  <c:v>0.2</c:v>
                </c:pt>
                <c:pt idx="19">
                  <c:v>0.2</c:v>
                </c:pt>
                <c:pt idx="20">
                  <c:v>0</c:v>
                </c:pt>
                <c:pt idx="21">
                  <c:v>0.1</c:v>
                </c:pt>
                <c:pt idx="22">
                  <c:v>0.1</c:v>
                </c:pt>
                <c:pt idx="23">
                  <c:v>0.1</c:v>
                </c:pt>
                <c:pt idx="24">
                  <c:v>0</c:v>
                </c:pt>
                <c:pt idx="25">
                  <c:v>0</c:v>
                </c:pt>
                <c:pt idx="26">
                  <c:v>0</c:v>
                </c:pt>
                <c:pt idx="27">
                  <c:v>0.1</c:v>
                </c:pt>
                <c:pt idx="28">
                  <c:v>0.1</c:v>
                </c:pt>
                <c:pt idx="29">
                  <c:v>0.1</c:v>
                </c:pt>
                <c:pt idx="30">
                  <c:v>0.2</c:v>
                </c:pt>
                <c:pt idx="31">
                  <c:v>0.2</c:v>
                </c:pt>
                <c:pt idx="32">
                  <c:v>0.3</c:v>
                </c:pt>
                <c:pt idx="33">
                  <c:v>0.1</c:v>
                </c:pt>
                <c:pt idx="34">
                  <c:v>0.2</c:v>
                </c:pt>
                <c:pt idx="35">
                  <c:v>0.3</c:v>
                </c:pt>
                <c:pt idx="36">
                  <c:v>0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38ED-4185-9E1F-1A654C29A08E}"/>
            </c:ext>
          </c:extLst>
        </c:ser>
        <c:ser>
          <c:idx val="2"/>
          <c:order val="2"/>
          <c:tx>
            <c:strRef>
              <c:f>total.com0.02.rate.4dtv!$A$4</c:f>
              <c:strCache>
                <c:ptCount val="1"/>
                <c:pt idx="0">
                  <c:v>Dre-Dre</c:v>
                </c:pt>
              </c:strCache>
            </c:strRef>
          </c:tx>
          <c:spPr>
            <a:ln w="12700" cap="rnd">
              <a:solidFill>
                <a:schemeClr val="tx1">
                  <a:lumMod val="50000"/>
                  <a:lumOff val="50000"/>
                </a:schemeClr>
              </a:solidFill>
              <a:round/>
            </a:ln>
            <a:effectLst/>
          </c:spPr>
          <c:marker>
            <c:symbol val="none"/>
          </c:marker>
          <c:cat>
            <c:numRef>
              <c:f>total.com0.02.rate.4dtv!$B$1:$AL$1</c:f>
              <c:numCache>
                <c:formatCode>General</c:formatCode>
                <c:ptCount val="37"/>
                <c:pt idx="0">
                  <c:v>0</c:v>
                </c:pt>
                <c:pt idx="1">
                  <c:v>0.02</c:v>
                </c:pt>
                <c:pt idx="2">
                  <c:v>0.04</c:v>
                </c:pt>
                <c:pt idx="3">
                  <c:v>0.06</c:v>
                </c:pt>
                <c:pt idx="4">
                  <c:v>0.08</c:v>
                </c:pt>
                <c:pt idx="5">
                  <c:v>0.1</c:v>
                </c:pt>
                <c:pt idx="6">
                  <c:v>0.12</c:v>
                </c:pt>
                <c:pt idx="7">
                  <c:v>0.14000000000000001</c:v>
                </c:pt>
                <c:pt idx="8">
                  <c:v>0.16</c:v>
                </c:pt>
                <c:pt idx="9">
                  <c:v>0.18</c:v>
                </c:pt>
                <c:pt idx="10">
                  <c:v>0.2</c:v>
                </c:pt>
                <c:pt idx="11">
                  <c:v>0.22</c:v>
                </c:pt>
                <c:pt idx="12">
                  <c:v>0.24</c:v>
                </c:pt>
                <c:pt idx="13">
                  <c:v>0.26</c:v>
                </c:pt>
                <c:pt idx="14">
                  <c:v>0.28000000000000003</c:v>
                </c:pt>
                <c:pt idx="15">
                  <c:v>0.3</c:v>
                </c:pt>
                <c:pt idx="16">
                  <c:v>0.32</c:v>
                </c:pt>
                <c:pt idx="17">
                  <c:v>0.34</c:v>
                </c:pt>
                <c:pt idx="18">
                  <c:v>0.36</c:v>
                </c:pt>
                <c:pt idx="19">
                  <c:v>0.38</c:v>
                </c:pt>
                <c:pt idx="20">
                  <c:v>0.4</c:v>
                </c:pt>
                <c:pt idx="21">
                  <c:v>0.42</c:v>
                </c:pt>
                <c:pt idx="22">
                  <c:v>0.44</c:v>
                </c:pt>
                <c:pt idx="23">
                  <c:v>0.46</c:v>
                </c:pt>
                <c:pt idx="24">
                  <c:v>0.48</c:v>
                </c:pt>
                <c:pt idx="25">
                  <c:v>0.5</c:v>
                </c:pt>
                <c:pt idx="26">
                  <c:v>0.52</c:v>
                </c:pt>
                <c:pt idx="27">
                  <c:v>0.54</c:v>
                </c:pt>
                <c:pt idx="28">
                  <c:v>0.56000000000000005</c:v>
                </c:pt>
                <c:pt idx="29">
                  <c:v>0.57999999999999996</c:v>
                </c:pt>
                <c:pt idx="30">
                  <c:v>0.6</c:v>
                </c:pt>
                <c:pt idx="31">
                  <c:v>0.62</c:v>
                </c:pt>
                <c:pt idx="32">
                  <c:v>0.64</c:v>
                </c:pt>
                <c:pt idx="33">
                  <c:v>0.66</c:v>
                </c:pt>
                <c:pt idx="34">
                  <c:v>0.68</c:v>
                </c:pt>
                <c:pt idx="35">
                  <c:v>0.7</c:v>
                </c:pt>
                <c:pt idx="36">
                  <c:v>0.72</c:v>
                </c:pt>
              </c:numCache>
            </c:numRef>
          </c:cat>
          <c:val>
            <c:numRef>
              <c:f>total.com0.02.rate.4dtv!$B$4:$AL$4</c:f>
              <c:numCache>
                <c:formatCode>General</c:formatCode>
                <c:ptCount val="37"/>
                <c:pt idx="0">
                  <c:v>2.1</c:v>
                </c:pt>
                <c:pt idx="1">
                  <c:v>2.5</c:v>
                </c:pt>
                <c:pt idx="2">
                  <c:v>2.8</c:v>
                </c:pt>
                <c:pt idx="3">
                  <c:v>4.2</c:v>
                </c:pt>
                <c:pt idx="4">
                  <c:v>12.1</c:v>
                </c:pt>
                <c:pt idx="5">
                  <c:v>5.7</c:v>
                </c:pt>
                <c:pt idx="6">
                  <c:v>5.7</c:v>
                </c:pt>
                <c:pt idx="7">
                  <c:v>2</c:v>
                </c:pt>
                <c:pt idx="8">
                  <c:v>3.3</c:v>
                </c:pt>
                <c:pt idx="9">
                  <c:v>2.2000000000000002</c:v>
                </c:pt>
                <c:pt idx="10">
                  <c:v>2</c:v>
                </c:pt>
                <c:pt idx="11">
                  <c:v>1.5</c:v>
                </c:pt>
                <c:pt idx="12">
                  <c:v>0.7</c:v>
                </c:pt>
                <c:pt idx="13">
                  <c:v>0.4</c:v>
                </c:pt>
                <c:pt idx="14">
                  <c:v>0.4</c:v>
                </c:pt>
                <c:pt idx="15">
                  <c:v>0</c:v>
                </c:pt>
                <c:pt idx="16">
                  <c:v>0.4</c:v>
                </c:pt>
                <c:pt idx="17">
                  <c:v>0</c:v>
                </c:pt>
                <c:pt idx="18">
                  <c:v>0</c:v>
                </c:pt>
                <c:pt idx="19">
                  <c:v>0</c:v>
                </c:pt>
                <c:pt idx="20">
                  <c:v>0.6</c:v>
                </c:pt>
                <c:pt idx="21">
                  <c:v>0</c:v>
                </c:pt>
                <c:pt idx="22">
                  <c:v>0</c:v>
                </c:pt>
                <c:pt idx="23">
                  <c:v>0</c:v>
                </c:pt>
                <c:pt idx="24">
                  <c:v>0</c:v>
                </c:pt>
                <c:pt idx="25">
                  <c:v>0.4</c:v>
                </c:pt>
                <c:pt idx="26">
                  <c:v>0</c:v>
                </c:pt>
                <c:pt idx="27">
                  <c:v>0.4</c:v>
                </c:pt>
                <c:pt idx="28">
                  <c:v>0.7</c:v>
                </c:pt>
                <c:pt idx="29">
                  <c:v>1.4</c:v>
                </c:pt>
                <c:pt idx="30">
                  <c:v>1</c:v>
                </c:pt>
                <c:pt idx="31">
                  <c:v>1.7</c:v>
                </c:pt>
                <c:pt idx="32">
                  <c:v>4.7</c:v>
                </c:pt>
                <c:pt idx="33">
                  <c:v>4.8</c:v>
                </c:pt>
                <c:pt idx="34">
                  <c:v>5.3</c:v>
                </c:pt>
                <c:pt idx="35">
                  <c:v>6.2</c:v>
                </c:pt>
                <c:pt idx="36">
                  <c:v>2.4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4-38ED-4185-9E1F-1A654C29A08E}"/>
            </c:ext>
          </c:extLst>
        </c:ser>
        <c:ser>
          <c:idx val="3"/>
          <c:order val="3"/>
          <c:tx>
            <c:strRef>
              <c:f>total.com0.02.rate.4dtv!$A$5</c:f>
              <c:strCache>
                <c:ptCount val="1"/>
                <c:pt idx="0">
                  <c:v>Gec-Cca</c:v>
                </c:pt>
              </c:strCache>
            </c:strRef>
          </c:tx>
          <c:spPr>
            <a:ln w="12700" cap="rnd">
              <a:solidFill>
                <a:srgbClr val="FFC000"/>
              </a:solidFill>
              <a:prstDash val="sysDash"/>
              <a:round/>
            </a:ln>
            <a:effectLst/>
          </c:spPr>
          <c:marker>
            <c:symbol val="none"/>
          </c:marker>
          <c:cat>
            <c:numRef>
              <c:f>total.com0.02.rate.4dtv!$B$1:$AL$1</c:f>
              <c:numCache>
                <c:formatCode>General</c:formatCode>
                <c:ptCount val="37"/>
                <c:pt idx="0">
                  <c:v>0</c:v>
                </c:pt>
                <c:pt idx="1">
                  <c:v>0.02</c:v>
                </c:pt>
                <c:pt idx="2">
                  <c:v>0.04</c:v>
                </c:pt>
                <c:pt idx="3">
                  <c:v>0.06</c:v>
                </c:pt>
                <c:pt idx="4">
                  <c:v>0.08</c:v>
                </c:pt>
                <c:pt idx="5">
                  <c:v>0.1</c:v>
                </c:pt>
                <c:pt idx="6">
                  <c:v>0.12</c:v>
                </c:pt>
                <c:pt idx="7">
                  <c:v>0.14000000000000001</c:v>
                </c:pt>
                <c:pt idx="8">
                  <c:v>0.16</c:v>
                </c:pt>
                <c:pt idx="9">
                  <c:v>0.18</c:v>
                </c:pt>
                <c:pt idx="10">
                  <c:v>0.2</c:v>
                </c:pt>
                <c:pt idx="11">
                  <c:v>0.22</c:v>
                </c:pt>
                <c:pt idx="12">
                  <c:v>0.24</c:v>
                </c:pt>
                <c:pt idx="13">
                  <c:v>0.26</c:v>
                </c:pt>
                <c:pt idx="14">
                  <c:v>0.28000000000000003</c:v>
                </c:pt>
                <c:pt idx="15">
                  <c:v>0.3</c:v>
                </c:pt>
                <c:pt idx="16">
                  <c:v>0.32</c:v>
                </c:pt>
                <c:pt idx="17">
                  <c:v>0.34</c:v>
                </c:pt>
                <c:pt idx="18">
                  <c:v>0.36</c:v>
                </c:pt>
                <c:pt idx="19">
                  <c:v>0.38</c:v>
                </c:pt>
                <c:pt idx="20">
                  <c:v>0.4</c:v>
                </c:pt>
                <c:pt idx="21">
                  <c:v>0.42</c:v>
                </c:pt>
                <c:pt idx="22">
                  <c:v>0.44</c:v>
                </c:pt>
                <c:pt idx="23">
                  <c:v>0.46</c:v>
                </c:pt>
                <c:pt idx="24">
                  <c:v>0.48</c:v>
                </c:pt>
                <c:pt idx="25">
                  <c:v>0.5</c:v>
                </c:pt>
                <c:pt idx="26">
                  <c:v>0.52</c:v>
                </c:pt>
                <c:pt idx="27">
                  <c:v>0.54</c:v>
                </c:pt>
                <c:pt idx="28">
                  <c:v>0.56000000000000005</c:v>
                </c:pt>
                <c:pt idx="29">
                  <c:v>0.57999999999999996</c:v>
                </c:pt>
                <c:pt idx="30">
                  <c:v>0.6</c:v>
                </c:pt>
                <c:pt idx="31">
                  <c:v>0.62</c:v>
                </c:pt>
                <c:pt idx="32">
                  <c:v>0.64</c:v>
                </c:pt>
                <c:pt idx="33">
                  <c:v>0.66</c:v>
                </c:pt>
                <c:pt idx="34">
                  <c:v>0.68</c:v>
                </c:pt>
                <c:pt idx="35">
                  <c:v>0.7</c:v>
                </c:pt>
                <c:pt idx="36">
                  <c:v>0.72</c:v>
                </c:pt>
              </c:numCache>
            </c:numRef>
          </c:cat>
          <c:val>
            <c:numRef>
              <c:f>total.com0.02.rate.4dtv!$B$5:$AL$5</c:f>
              <c:numCache>
                <c:formatCode>General</c:formatCode>
                <c:ptCount val="37"/>
                <c:pt idx="0">
                  <c:v>0</c:v>
                </c:pt>
                <c:pt idx="1">
                  <c:v>1.4</c:v>
                </c:pt>
                <c:pt idx="2">
                  <c:v>38</c:v>
                </c:pt>
                <c:pt idx="3">
                  <c:v>38.4</c:v>
                </c:pt>
                <c:pt idx="4">
                  <c:v>11.1</c:v>
                </c:pt>
                <c:pt idx="5">
                  <c:v>3.1</c:v>
                </c:pt>
                <c:pt idx="6">
                  <c:v>2.2999999999999998</c:v>
                </c:pt>
                <c:pt idx="7">
                  <c:v>1.5</c:v>
                </c:pt>
                <c:pt idx="8">
                  <c:v>0.8</c:v>
                </c:pt>
                <c:pt idx="9">
                  <c:v>0.5</c:v>
                </c:pt>
                <c:pt idx="10">
                  <c:v>0.3</c:v>
                </c:pt>
                <c:pt idx="11">
                  <c:v>0.1</c:v>
                </c:pt>
                <c:pt idx="12">
                  <c:v>0</c:v>
                </c:pt>
                <c:pt idx="13">
                  <c:v>0</c:v>
                </c:pt>
                <c:pt idx="14">
                  <c:v>0.1</c:v>
                </c:pt>
                <c:pt idx="15">
                  <c:v>0</c:v>
                </c:pt>
                <c:pt idx="16">
                  <c:v>0</c:v>
                </c:pt>
                <c:pt idx="17">
                  <c:v>0</c:v>
                </c:pt>
                <c:pt idx="18">
                  <c:v>0</c:v>
                </c:pt>
                <c:pt idx="19">
                  <c:v>0</c:v>
                </c:pt>
                <c:pt idx="20">
                  <c:v>0</c:v>
                </c:pt>
                <c:pt idx="21">
                  <c:v>0</c:v>
                </c:pt>
                <c:pt idx="22">
                  <c:v>0</c:v>
                </c:pt>
                <c:pt idx="23">
                  <c:v>0</c:v>
                </c:pt>
                <c:pt idx="24">
                  <c:v>0</c:v>
                </c:pt>
                <c:pt idx="25">
                  <c:v>0</c:v>
                </c:pt>
                <c:pt idx="26">
                  <c:v>0</c:v>
                </c:pt>
                <c:pt idx="27">
                  <c:v>0</c:v>
                </c:pt>
                <c:pt idx="28">
                  <c:v>0</c:v>
                </c:pt>
                <c:pt idx="29">
                  <c:v>0</c:v>
                </c:pt>
                <c:pt idx="30">
                  <c:v>0</c:v>
                </c:pt>
                <c:pt idx="31">
                  <c:v>0.3</c:v>
                </c:pt>
                <c:pt idx="32">
                  <c:v>0.2</c:v>
                </c:pt>
                <c:pt idx="33">
                  <c:v>0.4</c:v>
                </c:pt>
                <c:pt idx="34">
                  <c:v>0</c:v>
                </c:pt>
                <c:pt idx="35">
                  <c:v>0.3</c:v>
                </c:pt>
                <c:pt idx="36">
                  <c:v>0.1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5-38ED-4185-9E1F-1A654C29A08E}"/>
            </c:ext>
          </c:extLst>
        </c:ser>
        <c:ser>
          <c:idx val="4"/>
          <c:order val="4"/>
          <c:tx>
            <c:strRef>
              <c:f>total.com0.02.rate.4dtv!$A$6</c:f>
              <c:strCache>
                <c:ptCount val="1"/>
                <c:pt idx="0">
                  <c:v>Gec-Dre</c:v>
                </c:pt>
              </c:strCache>
            </c:strRef>
          </c:tx>
          <c:spPr>
            <a:ln w="12700" cap="rnd">
              <a:solidFill>
                <a:schemeClr val="accent5"/>
              </a:solidFill>
              <a:prstDash val="sysDash"/>
              <a:round/>
            </a:ln>
            <a:effectLst/>
          </c:spPr>
          <c:marker>
            <c:symbol val="none"/>
          </c:marker>
          <c:cat>
            <c:numRef>
              <c:f>total.com0.02.rate.4dtv!$B$1:$AL$1</c:f>
              <c:numCache>
                <c:formatCode>General</c:formatCode>
                <c:ptCount val="37"/>
                <c:pt idx="0">
                  <c:v>0</c:v>
                </c:pt>
                <c:pt idx="1">
                  <c:v>0.02</c:v>
                </c:pt>
                <c:pt idx="2">
                  <c:v>0.04</c:v>
                </c:pt>
                <c:pt idx="3">
                  <c:v>0.06</c:v>
                </c:pt>
                <c:pt idx="4">
                  <c:v>0.08</c:v>
                </c:pt>
                <c:pt idx="5">
                  <c:v>0.1</c:v>
                </c:pt>
                <c:pt idx="6">
                  <c:v>0.12</c:v>
                </c:pt>
                <c:pt idx="7">
                  <c:v>0.14000000000000001</c:v>
                </c:pt>
                <c:pt idx="8">
                  <c:v>0.16</c:v>
                </c:pt>
                <c:pt idx="9">
                  <c:v>0.18</c:v>
                </c:pt>
                <c:pt idx="10">
                  <c:v>0.2</c:v>
                </c:pt>
                <c:pt idx="11">
                  <c:v>0.22</c:v>
                </c:pt>
                <c:pt idx="12">
                  <c:v>0.24</c:v>
                </c:pt>
                <c:pt idx="13">
                  <c:v>0.26</c:v>
                </c:pt>
                <c:pt idx="14">
                  <c:v>0.28000000000000003</c:v>
                </c:pt>
                <c:pt idx="15">
                  <c:v>0.3</c:v>
                </c:pt>
                <c:pt idx="16">
                  <c:v>0.32</c:v>
                </c:pt>
                <c:pt idx="17">
                  <c:v>0.34</c:v>
                </c:pt>
                <c:pt idx="18">
                  <c:v>0.36</c:v>
                </c:pt>
                <c:pt idx="19">
                  <c:v>0.38</c:v>
                </c:pt>
                <c:pt idx="20">
                  <c:v>0.4</c:v>
                </c:pt>
                <c:pt idx="21">
                  <c:v>0.42</c:v>
                </c:pt>
                <c:pt idx="22">
                  <c:v>0.44</c:v>
                </c:pt>
                <c:pt idx="23">
                  <c:v>0.46</c:v>
                </c:pt>
                <c:pt idx="24">
                  <c:v>0.48</c:v>
                </c:pt>
                <c:pt idx="25">
                  <c:v>0.5</c:v>
                </c:pt>
                <c:pt idx="26">
                  <c:v>0.52</c:v>
                </c:pt>
                <c:pt idx="27">
                  <c:v>0.54</c:v>
                </c:pt>
                <c:pt idx="28">
                  <c:v>0.56000000000000005</c:v>
                </c:pt>
                <c:pt idx="29">
                  <c:v>0.57999999999999996</c:v>
                </c:pt>
                <c:pt idx="30">
                  <c:v>0.6</c:v>
                </c:pt>
                <c:pt idx="31">
                  <c:v>0.62</c:v>
                </c:pt>
                <c:pt idx="32">
                  <c:v>0.64</c:v>
                </c:pt>
                <c:pt idx="33">
                  <c:v>0.66</c:v>
                </c:pt>
                <c:pt idx="34">
                  <c:v>0.68</c:v>
                </c:pt>
                <c:pt idx="35">
                  <c:v>0.7</c:v>
                </c:pt>
                <c:pt idx="36">
                  <c:v>0.72</c:v>
                </c:pt>
              </c:numCache>
            </c:numRef>
          </c:cat>
          <c:val>
            <c:numRef>
              <c:f>total.com0.02.rate.4dtv!$B$6:$AL$6</c:f>
              <c:numCache>
                <c:formatCode>General</c:formatCode>
                <c:ptCount val="37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0.1</c:v>
                </c:pt>
                <c:pt idx="7">
                  <c:v>12.2</c:v>
                </c:pt>
                <c:pt idx="8">
                  <c:v>45.8</c:v>
                </c:pt>
                <c:pt idx="9">
                  <c:v>16.2</c:v>
                </c:pt>
                <c:pt idx="10">
                  <c:v>4.7</c:v>
                </c:pt>
                <c:pt idx="11">
                  <c:v>2.4</c:v>
                </c:pt>
                <c:pt idx="12">
                  <c:v>2.4</c:v>
                </c:pt>
                <c:pt idx="13">
                  <c:v>2.7</c:v>
                </c:pt>
                <c:pt idx="14">
                  <c:v>1.7</c:v>
                </c:pt>
                <c:pt idx="15">
                  <c:v>0.8</c:v>
                </c:pt>
                <c:pt idx="16">
                  <c:v>0.8</c:v>
                </c:pt>
                <c:pt idx="17">
                  <c:v>0.5</c:v>
                </c:pt>
                <c:pt idx="18">
                  <c:v>0.2</c:v>
                </c:pt>
                <c:pt idx="19">
                  <c:v>0.1</c:v>
                </c:pt>
                <c:pt idx="20">
                  <c:v>0.1</c:v>
                </c:pt>
                <c:pt idx="21">
                  <c:v>0.1</c:v>
                </c:pt>
                <c:pt idx="22">
                  <c:v>0</c:v>
                </c:pt>
                <c:pt idx="23">
                  <c:v>0</c:v>
                </c:pt>
                <c:pt idx="24">
                  <c:v>0</c:v>
                </c:pt>
                <c:pt idx="25">
                  <c:v>0.1</c:v>
                </c:pt>
                <c:pt idx="26">
                  <c:v>0.1</c:v>
                </c:pt>
                <c:pt idx="27">
                  <c:v>0.1</c:v>
                </c:pt>
                <c:pt idx="28">
                  <c:v>0</c:v>
                </c:pt>
                <c:pt idx="29">
                  <c:v>0.1</c:v>
                </c:pt>
                <c:pt idx="30">
                  <c:v>0.2</c:v>
                </c:pt>
                <c:pt idx="31">
                  <c:v>0.7</c:v>
                </c:pt>
                <c:pt idx="32">
                  <c:v>0.7</c:v>
                </c:pt>
                <c:pt idx="33">
                  <c:v>0.9</c:v>
                </c:pt>
                <c:pt idx="34">
                  <c:v>1.1000000000000001</c:v>
                </c:pt>
                <c:pt idx="35">
                  <c:v>0.6</c:v>
                </c:pt>
                <c:pt idx="36">
                  <c:v>1.1000000000000001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6-38ED-4185-9E1F-1A654C29A08E}"/>
            </c:ext>
          </c:extLst>
        </c:ser>
        <c:ser>
          <c:idx val="5"/>
          <c:order val="5"/>
          <c:tx>
            <c:strRef>
              <c:f>total.com0.02.rate.4dtv!$A$7</c:f>
              <c:strCache>
                <c:ptCount val="1"/>
                <c:pt idx="0">
                  <c:v>Gec-Gec</c:v>
                </c:pt>
              </c:strCache>
            </c:strRef>
          </c:tx>
          <c:spPr>
            <a:ln w="12700" cap="rnd">
              <a:solidFill>
                <a:srgbClr val="FF0000"/>
              </a:solidFill>
              <a:round/>
            </a:ln>
            <a:effectLst/>
          </c:spPr>
          <c:marker>
            <c:symbol val="none"/>
          </c:marker>
          <c:cat>
            <c:numRef>
              <c:f>total.com0.02.rate.4dtv!$B$1:$AL$1</c:f>
              <c:numCache>
                <c:formatCode>General</c:formatCode>
                <c:ptCount val="37"/>
                <c:pt idx="0">
                  <c:v>0</c:v>
                </c:pt>
                <c:pt idx="1">
                  <c:v>0.02</c:v>
                </c:pt>
                <c:pt idx="2">
                  <c:v>0.04</c:v>
                </c:pt>
                <c:pt idx="3">
                  <c:v>0.06</c:v>
                </c:pt>
                <c:pt idx="4">
                  <c:v>0.08</c:v>
                </c:pt>
                <c:pt idx="5">
                  <c:v>0.1</c:v>
                </c:pt>
                <c:pt idx="6">
                  <c:v>0.12</c:v>
                </c:pt>
                <c:pt idx="7">
                  <c:v>0.14000000000000001</c:v>
                </c:pt>
                <c:pt idx="8">
                  <c:v>0.16</c:v>
                </c:pt>
                <c:pt idx="9">
                  <c:v>0.18</c:v>
                </c:pt>
                <c:pt idx="10">
                  <c:v>0.2</c:v>
                </c:pt>
                <c:pt idx="11">
                  <c:v>0.22</c:v>
                </c:pt>
                <c:pt idx="12">
                  <c:v>0.24</c:v>
                </c:pt>
                <c:pt idx="13">
                  <c:v>0.26</c:v>
                </c:pt>
                <c:pt idx="14">
                  <c:v>0.28000000000000003</c:v>
                </c:pt>
                <c:pt idx="15">
                  <c:v>0.3</c:v>
                </c:pt>
                <c:pt idx="16">
                  <c:v>0.32</c:v>
                </c:pt>
                <c:pt idx="17">
                  <c:v>0.34</c:v>
                </c:pt>
                <c:pt idx="18">
                  <c:v>0.36</c:v>
                </c:pt>
                <c:pt idx="19">
                  <c:v>0.38</c:v>
                </c:pt>
                <c:pt idx="20">
                  <c:v>0.4</c:v>
                </c:pt>
                <c:pt idx="21">
                  <c:v>0.42</c:v>
                </c:pt>
                <c:pt idx="22">
                  <c:v>0.44</c:v>
                </c:pt>
                <c:pt idx="23">
                  <c:v>0.46</c:v>
                </c:pt>
                <c:pt idx="24">
                  <c:v>0.48</c:v>
                </c:pt>
                <c:pt idx="25">
                  <c:v>0.5</c:v>
                </c:pt>
                <c:pt idx="26">
                  <c:v>0.52</c:v>
                </c:pt>
                <c:pt idx="27">
                  <c:v>0.54</c:v>
                </c:pt>
                <c:pt idx="28">
                  <c:v>0.56000000000000005</c:v>
                </c:pt>
                <c:pt idx="29">
                  <c:v>0.57999999999999996</c:v>
                </c:pt>
                <c:pt idx="30">
                  <c:v>0.6</c:v>
                </c:pt>
                <c:pt idx="31">
                  <c:v>0.62</c:v>
                </c:pt>
                <c:pt idx="32">
                  <c:v>0.64</c:v>
                </c:pt>
                <c:pt idx="33">
                  <c:v>0.66</c:v>
                </c:pt>
                <c:pt idx="34">
                  <c:v>0.68</c:v>
                </c:pt>
                <c:pt idx="35">
                  <c:v>0.7</c:v>
                </c:pt>
                <c:pt idx="36">
                  <c:v>0.72</c:v>
                </c:pt>
              </c:numCache>
            </c:numRef>
          </c:cat>
          <c:val>
            <c:numRef>
              <c:f>total.com0.02.rate.4dtv!$B$7:$AL$7</c:f>
              <c:numCache>
                <c:formatCode>General</c:formatCode>
                <c:ptCount val="37"/>
                <c:pt idx="0">
                  <c:v>3</c:v>
                </c:pt>
                <c:pt idx="1">
                  <c:v>7.5</c:v>
                </c:pt>
                <c:pt idx="2">
                  <c:v>26.7</c:v>
                </c:pt>
                <c:pt idx="3">
                  <c:v>1.1000000000000001</c:v>
                </c:pt>
                <c:pt idx="4">
                  <c:v>0.5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  <c:pt idx="10">
                  <c:v>0</c:v>
                </c:pt>
                <c:pt idx="11">
                  <c:v>0</c:v>
                </c:pt>
                <c:pt idx="12">
                  <c:v>0.5</c:v>
                </c:pt>
                <c:pt idx="13">
                  <c:v>0</c:v>
                </c:pt>
                <c:pt idx="14">
                  <c:v>0</c:v>
                </c:pt>
                <c:pt idx="15">
                  <c:v>0</c:v>
                </c:pt>
                <c:pt idx="16">
                  <c:v>0</c:v>
                </c:pt>
                <c:pt idx="17">
                  <c:v>0</c:v>
                </c:pt>
                <c:pt idx="18">
                  <c:v>0</c:v>
                </c:pt>
                <c:pt idx="19">
                  <c:v>0</c:v>
                </c:pt>
                <c:pt idx="20">
                  <c:v>0</c:v>
                </c:pt>
                <c:pt idx="21">
                  <c:v>0</c:v>
                </c:pt>
                <c:pt idx="22">
                  <c:v>0</c:v>
                </c:pt>
                <c:pt idx="23">
                  <c:v>0</c:v>
                </c:pt>
                <c:pt idx="24">
                  <c:v>0</c:v>
                </c:pt>
                <c:pt idx="25">
                  <c:v>0.5</c:v>
                </c:pt>
                <c:pt idx="26">
                  <c:v>0.4</c:v>
                </c:pt>
                <c:pt idx="27">
                  <c:v>0</c:v>
                </c:pt>
                <c:pt idx="28">
                  <c:v>1</c:v>
                </c:pt>
                <c:pt idx="29">
                  <c:v>2</c:v>
                </c:pt>
                <c:pt idx="30">
                  <c:v>3</c:v>
                </c:pt>
                <c:pt idx="31">
                  <c:v>2.2999999999999998</c:v>
                </c:pt>
                <c:pt idx="32">
                  <c:v>7.1</c:v>
                </c:pt>
                <c:pt idx="33">
                  <c:v>4.3</c:v>
                </c:pt>
                <c:pt idx="34">
                  <c:v>8</c:v>
                </c:pt>
                <c:pt idx="35">
                  <c:v>5</c:v>
                </c:pt>
                <c:pt idx="36">
                  <c:v>1.7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7-38ED-4185-9E1F-1A654C29A08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653763264"/>
        <c:axId val="642180432"/>
      </c:lineChart>
      <c:catAx>
        <c:axId val="653763264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 altLang="zh-CN" sz="1200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4DTv</a:t>
                </a:r>
              </a:p>
            </c:rich>
          </c:tx>
          <c:layout>
            <c:manualLayout>
              <c:xMode val="edge"/>
              <c:yMode val="edge"/>
              <c:x val="0.48472197157502478"/>
              <c:y val="0.92719327916178318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2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zh-CN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12700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zh-CN"/>
          </a:p>
        </c:txPr>
        <c:crossAx val="642180432"/>
        <c:crosses val="autoZero"/>
        <c:auto val="1"/>
        <c:lblAlgn val="ctr"/>
        <c:lblOffset val="100"/>
        <c:noMultiLvlLbl val="0"/>
      </c:catAx>
      <c:valAx>
        <c:axId val="642180432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zh-CN" sz="1200" b="0" i="0" baseline="0">
                    <a:effectLst/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No. of syntenic blocks kernel </a:t>
                </a:r>
                <a:r>
                  <a:rPr lang="en-US" altLang="zh-CN" sz="12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rPr>
                  <a:t>density</a:t>
                </a:r>
                <a:r>
                  <a:rPr lang="en-US" altLang="zh-CN" sz="1200" b="0" i="0" baseline="0">
                    <a:effectLst/>
                  </a:rPr>
                  <a:t> </a:t>
                </a:r>
                <a:endParaRPr lang="zh-CN" altLang="zh-CN" sz="1200">
                  <a:effectLst/>
                </a:endParaRPr>
              </a:p>
            </c:rich>
          </c:tx>
          <c:layout>
            <c:manualLayout>
              <c:xMode val="edge"/>
              <c:yMode val="edge"/>
              <c:x val="9.8076929165518949E-3"/>
              <c:y val="0.14026472215448593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2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zh-CN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12700"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zh-CN"/>
          </a:p>
        </c:txPr>
        <c:crossAx val="65376326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49919091084663875"/>
          <c:y val="5.8024914717828113E-2"/>
          <c:w val="0.45598070597025792"/>
          <c:h val="0.15609429940138597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zh-CN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4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240</Words>
  <Characters>1371</Characters>
  <Application>Microsoft Office Word</Application>
  <DocSecurity>0</DocSecurity>
  <Lines>11</Lines>
  <Paragraphs>3</Paragraphs>
  <ScaleCrop>false</ScaleCrop>
  <Company/>
  <LinksUpToDate>false</LinksUpToDate>
  <CharactersWithSpaces>1608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2022-01-04T06:07:00Z</dcterms:created>
  <dcterms:modified xsi:type="dcterms:W3CDTF">2022-01-04T06:08:00Z</dcterms:modified>
</cp:coreProperties>
</file>