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114300" distR="114300">
            <wp:extent cx="5913755" cy="2956560"/>
            <wp:effectExtent l="0" t="0" r="10795" b="15240"/>
            <wp:docPr id="7" name="图片 7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left"/>
      </w:pPr>
      <w:r>
        <w:t>Figure</w:t>
      </w:r>
      <w:r>
        <w:rPr>
          <w:rFonts w:hint="eastAsia"/>
          <w:lang w:val="en-US" w:eastAsia="zh-CN"/>
        </w:rPr>
        <w:t xml:space="preserve"> </w:t>
      </w:r>
      <w:r>
        <w:t>S</w:t>
      </w:r>
      <w:r>
        <w:fldChar w:fldCharType="begin"/>
      </w:r>
      <w:r>
        <w:instrText xml:space="preserve"> SEQ FigureS \* ARABIC </w:instrText>
      </w:r>
      <w:r>
        <w:fldChar w:fldCharType="separate"/>
      </w:r>
      <w:r>
        <w:t>1</w:t>
      </w:r>
      <w:r>
        <w:fldChar w:fldCharType="end"/>
      </w:r>
      <w:r>
        <w:t xml:space="preserve"> (</w:t>
      </w:r>
      <w:r>
        <w:rPr>
          <w:b/>
          <w:bCs/>
        </w:rPr>
        <w:t>A</w:t>
      </w:r>
      <w:r>
        <w:t xml:space="preserve">) PCA </w:t>
      </w:r>
      <w:r>
        <w:rPr>
          <w:rFonts w:hint="eastAsia"/>
        </w:rPr>
        <w:t>before</w:t>
      </w:r>
      <w:r>
        <w:t xml:space="preserve"> normalization (</w:t>
      </w:r>
      <w:r>
        <w:rPr>
          <w:b/>
          <w:bCs/>
        </w:rPr>
        <w:t>B</w:t>
      </w:r>
      <w:r>
        <w:t xml:space="preserve">) PCA after normalization </w:t>
      </w:r>
    </w:p>
    <w:p>
      <w:pPr>
        <w:pStyle w:val="2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drawing>
          <wp:inline distT="0" distB="0" distL="114300" distR="114300">
            <wp:extent cx="5788025" cy="2296795"/>
            <wp:effectExtent l="0" t="0" r="3175" b="8255"/>
            <wp:docPr id="6" name="图片 6" descr="figur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left"/>
      </w:pPr>
      <w:r>
        <w:t>Figure</w:t>
      </w:r>
      <w:r>
        <w:rPr>
          <w:rFonts w:hint="eastAsia"/>
          <w:lang w:val="en-US" w:eastAsia="zh-CN"/>
        </w:rPr>
        <w:t xml:space="preserve"> </w:t>
      </w:r>
      <w:r>
        <w:t>S</w:t>
      </w:r>
      <w:r>
        <w:fldChar w:fldCharType="begin"/>
      </w:r>
      <w:r>
        <w:instrText xml:space="preserve"> SEQ FigureS \* ARABIC </w:instrText>
      </w:r>
      <w:r>
        <w:fldChar w:fldCharType="separate"/>
      </w:r>
      <w:r>
        <w:t>2</w:t>
      </w:r>
      <w:r>
        <w:fldChar w:fldCharType="end"/>
      </w:r>
      <w:r>
        <w:t>Figure S2 The TF-mRNA-miRNA network(</w:t>
      </w:r>
      <w:r>
        <w:rPr>
          <w:b/>
          <w:bCs/>
        </w:rPr>
        <w:t>A</w:t>
      </w:r>
      <w:r>
        <w:t>) and potential candidate compounds targeting(</w:t>
      </w:r>
      <w:r>
        <w:rPr>
          <w:b/>
          <w:bCs/>
        </w:rPr>
        <w:t>B</w:t>
      </w:r>
      <w:r>
        <w:t>) of two hub genes</w:t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114300" distR="114300">
            <wp:extent cx="5013325" cy="5922645"/>
            <wp:effectExtent l="0" t="0" r="15875" b="1905"/>
            <wp:docPr id="8" name="图片 8" descr="figure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3325" cy="592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left"/>
      </w:pPr>
      <w:r>
        <w:t>Figure</w:t>
      </w:r>
      <w:r>
        <w:rPr>
          <w:rFonts w:hint="eastAsia"/>
          <w:lang w:val="en-US" w:eastAsia="zh-CN"/>
        </w:rPr>
        <w:t xml:space="preserve"> </w:t>
      </w:r>
      <w:r>
        <w:t>S</w:t>
      </w:r>
      <w:r>
        <w:fldChar w:fldCharType="begin"/>
      </w:r>
      <w:r>
        <w:instrText xml:space="preserve"> SEQ FigureS \* ARABIC </w:instrText>
      </w:r>
      <w:r>
        <w:fldChar w:fldCharType="separate"/>
      </w:r>
      <w:r>
        <w:t>3</w:t>
      </w:r>
      <w:r>
        <w:fldChar w:fldCharType="end"/>
      </w:r>
      <w:r>
        <w:t xml:space="preserve"> The histogram(</w:t>
      </w:r>
      <w:r>
        <w:rPr>
          <w:b/>
          <w:bCs/>
        </w:rPr>
        <w:t>A</w:t>
      </w:r>
      <w:r>
        <w:t>) of the overall landscape of immune cell distribution and the heatmap(</w:t>
      </w:r>
      <w:r>
        <w:rPr>
          <w:b/>
          <w:bCs/>
        </w:rPr>
        <w:t>B</w:t>
      </w:r>
      <w:r>
        <w:t>) of detail the correlation of 22 types of immune cells.</w:t>
      </w:r>
    </w:p>
    <w:p>
      <w:pPr>
        <w:pStyle w:val="2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94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2022-01-08T13:34:52Z</dcterms:created>
  <dc:creator>方诚罡</dc:creator>
  <cp:lastModifiedBy>方诚罡</cp:lastModifiedBy>
  <dcterms:modified xsi:type="dcterms:W3CDTF">2022-01-08T13:37:44Z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E89C0E09D81448CD8574F27C139206C9</vt:lpwstr>
  </property>
</Properties>
</file>