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06ED" w:rsidRDefault="006D06ED" w:rsidP="006D06ED">
      <w:pPr>
        <w:pStyle w:val="NoSpacing"/>
        <w:rPr>
          <w:b/>
        </w:rPr>
      </w:pPr>
      <w:r>
        <w:rPr>
          <w:b/>
        </w:rPr>
        <w:t>Supplementary Material</w:t>
      </w:r>
    </w:p>
    <w:p w:rsidR="006D06ED" w:rsidRDefault="006D06ED" w:rsidP="006D06ED">
      <w:pPr>
        <w:pStyle w:val="NoSpacing"/>
        <w:rPr>
          <w:b/>
        </w:rPr>
      </w:pPr>
    </w:p>
    <w:p w:rsidR="006D06ED" w:rsidRPr="006D06ED" w:rsidRDefault="001C7C33" w:rsidP="006D06ED">
      <w:pPr>
        <w:pStyle w:val="NoSpacing"/>
        <w:rPr>
          <w:b/>
        </w:rPr>
      </w:pPr>
      <w:r w:rsidRPr="001C7C33">
        <w:rPr>
          <w:b/>
        </w:rPr>
        <w:t>Human peripheral monocytes capture elements of the state of microglial activation in the brain</w:t>
      </w:r>
    </w:p>
    <w:p w:rsidR="006D06ED" w:rsidRDefault="006D06ED" w:rsidP="006D06ED"/>
    <w:p w:rsidR="00A634E4" w:rsidRPr="00A634E4" w:rsidRDefault="00A634E4" w:rsidP="00A634E4">
      <w:pPr>
        <w:pStyle w:val="NoSpacing"/>
      </w:pPr>
      <w:r w:rsidRPr="00A634E4">
        <w:t xml:space="preserve">Daniel </w:t>
      </w:r>
      <w:proofErr w:type="spellStart"/>
      <w:r w:rsidRPr="00A634E4">
        <w:t>Felsky</w:t>
      </w:r>
      <w:proofErr w:type="spellEnd"/>
      <w:r w:rsidRPr="00A634E4">
        <w:t xml:space="preserve"> PhD</w:t>
      </w:r>
      <w:r w:rsidRPr="00A634E4">
        <w:rPr>
          <w:vertAlign w:val="superscript"/>
        </w:rPr>
        <w:t>1,2,3</w:t>
      </w:r>
      <w:r w:rsidRPr="00A634E4">
        <w:t>, Hans-Ulrich Klein</w:t>
      </w:r>
      <w:r w:rsidRPr="00A634E4">
        <w:rPr>
          <w:vertAlign w:val="superscript"/>
        </w:rPr>
        <w:t>4</w:t>
      </w:r>
      <w:r w:rsidRPr="00A634E4">
        <w:t>, Vilas Menon</w:t>
      </w:r>
      <w:r w:rsidRPr="00A634E4">
        <w:rPr>
          <w:vertAlign w:val="superscript"/>
        </w:rPr>
        <w:t>4</w:t>
      </w:r>
      <w:r w:rsidRPr="00A634E4">
        <w:t xml:space="preserve">, </w:t>
      </w:r>
      <w:proofErr w:type="spellStart"/>
      <w:r w:rsidRPr="00A634E4">
        <w:t>Yiyi</w:t>
      </w:r>
      <w:proofErr w:type="spellEnd"/>
      <w:r w:rsidRPr="00A634E4">
        <w:t xml:space="preserve"> Ma</w:t>
      </w:r>
      <w:r w:rsidRPr="00A634E4">
        <w:rPr>
          <w:vertAlign w:val="superscript"/>
        </w:rPr>
        <w:t>5</w:t>
      </w:r>
      <w:r w:rsidRPr="00A634E4">
        <w:t xml:space="preserve">, </w:t>
      </w:r>
      <w:proofErr w:type="spellStart"/>
      <w:r w:rsidRPr="00A634E4">
        <w:t>Yanling</w:t>
      </w:r>
      <w:proofErr w:type="spellEnd"/>
      <w:r w:rsidRPr="00A634E4">
        <w:t xml:space="preserve"> Wang</w:t>
      </w:r>
      <w:r w:rsidRPr="00A634E4">
        <w:rPr>
          <w:vertAlign w:val="superscript"/>
        </w:rPr>
        <w:t>5,6</w:t>
      </w:r>
      <w:r w:rsidRPr="00A634E4">
        <w:t>, Milos Milic</w:t>
      </w:r>
      <w:r w:rsidRPr="00A634E4">
        <w:rPr>
          <w:vertAlign w:val="superscript"/>
        </w:rPr>
        <w:t>1</w:t>
      </w:r>
      <w:r w:rsidRPr="00A634E4">
        <w:t>, Peter Zhukovsky</w:t>
      </w:r>
      <w:r w:rsidRPr="00A634E4">
        <w:rPr>
          <w:vertAlign w:val="superscript"/>
        </w:rPr>
        <w:t>1</w:t>
      </w:r>
      <w:r w:rsidRPr="00A634E4">
        <w:t>, Julie A Schneider MD</w:t>
      </w:r>
      <w:r w:rsidRPr="00A634E4">
        <w:rPr>
          <w:vertAlign w:val="superscript"/>
        </w:rPr>
        <w:t>5,6</w:t>
      </w:r>
      <w:r w:rsidRPr="00A634E4">
        <w:t>, David A. Bennett MD</w:t>
      </w:r>
      <w:r w:rsidRPr="00A634E4">
        <w:rPr>
          <w:vertAlign w:val="superscript"/>
        </w:rPr>
        <w:t>5,6</w:t>
      </w:r>
      <w:r w:rsidRPr="00A634E4">
        <w:t xml:space="preserve">, Philip L. De </w:t>
      </w:r>
      <w:proofErr w:type="spellStart"/>
      <w:r w:rsidRPr="00A634E4">
        <w:t>Jager</w:t>
      </w:r>
      <w:proofErr w:type="spellEnd"/>
      <w:r w:rsidRPr="00A634E4">
        <w:t xml:space="preserve"> MD</w:t>
      </w:r>
      <w:r w:rsidRPr="00A634E4">
        <w:rPr>
          <w:vertAlign w:val="superscript"/>
        </w:rPr>
        <w:t>4</w:t>
      </w:r>
    </w:p>
    <w:p w:rsidR="00A634E4" w:rsidRPr="00A634E4" w:rsidRDefault="00A634E4" w:rsidP="00A634E4">
      <w:pPr>
        <w:pStyle w:val="NoSpacing"/>
      </w:pPr>
    </w:p>
    <w:p w:rsidR="00A634E4" w:rsidRPr="00A634E4" w:rsidRDefault="00A634E4" w:rsidP="00A634E4">
      <w:pPr>
        <w:pStyle w:val="NoSpacing"/>
      </w:pPr>
      <w:r w:rsidRPr="00A634E4">
        <w:t xml:space="preserve">1. </w:t>
      </w:r>
      <w:proofErr w:type="spellStart"/>
      <w:r w:rsidRPr="00A634E4">
        <w:t>Krembil</w:t>
      </w:r>
      <w:proofErr w:type="spellEnd"/>
      <w:r w:rsidRPr="00A634E4">
        <w:t xml:space="preserve"> Centre for </w:t>
      </w:r>
      <w:proofErr w:type="spellStart"/>
      <w:r w:rsidRPr="00A634E4">
        <w:t>Neuroinformatics</w:t>
      </w:r>
      <w:proofErr w:type="spellEnd"/>
      <w:r w:rsidRPr="00A634E4">
        <w:t>, Centre for Addiction and Mental Health, 250 College Street, Toronto, ON, CA</w:t>
      </w:r>
    </w:p>
    <w:p w:rsidR="00A634E4" w:rsidRPr="00A634E4" w:rsidRDefault="00A634E4" w:rsidP="00A634E4">
      <w:pPr>
        <w:pStyle w:val="NoSpacing"/>
      </w:pPr>
      <w:r w:rsidRPr="00A634E4">
        <w:t xml:space="preserve">2. Department of Psychiatry and </w:t>
      </w:r>
      <w:proofErr w:type="spellStart"/>
      <w:r w:rsidRPr="00A634E4">
        <w:t>Dalla</w:t>
      </w:r>
      <w:proofErr w:type="spellEnd"/>
      <w:r w:rsidRPr="00A634E4">
        <w:t xml:space="preserve"> Lana School of Public Health, University of Toronto, Toronto, ON, Canada</w:t>
      </w:r>
    </w:p>
    <w:p w:rsidR="00A634E4" w:rsidRPr="00A634E4" w:rsidRDefault="00A634E4" w:rsidP="00A634E4">
      <w:pPr>
        <w:pStyle w:val="NoSpacing"/>
      </w:pPr>
      <w:r w:rsidRPr="00A634E4">
        <w:t>3. Institute of Medical Science, University of Toronto, Toronto, ON, Canada</w:t>
      </w:r>
    </w:p>
    <w:p w:rsidR="00A634E4" w:rsidRPr="00A634E4" w:rsidRDefault="00A634E4" w:rsidP="00A634E4">
      <w:pPr>
        <w:pStyle w:val="NoSpacing"/>
      </w:pPr>
      <w:r w:rsidRPr="00A634E4">
        <w:t xml:space="preserve">4. Center for Translational and Computational </w:t>
      </w:r>
      <w:proofErr w:type="spellStart"/>
      <w:r w:rsidRPr="00A634E4">
        <w:t>Neuroimmunology</w:t>
      </w:r>
      <w:proofErr w:type="spellEnd"/>
      <w:r w:rsidRPr="00A634E4">
        <w:t xml:space="preserve">, Department of Neurology and the </w:t>
      </w:r>
      <w:proofErr w:type="spellStart"/>
      <w:r w:rsidRPr="00A634E4">
        <w:t>Taub</w:t>
      </w:r>
      <w:proofErr w:type="spellEnd"/>
      <w:r w:rsidRPr="00A634E4">
        <w:t xml:space="preserve"> Institute for Research on Alzheimer’s Disease and the Aging Brain, Columbia University Irving Medical Center, 630 West 168th Street, New York, NY 10032, USA.</w:t>
      </w:r>
    </w:p>
    <w:p w:rsidR="00A634E4" w:rsidRPr="00A634E4" w:rsidRDefault="00A634E4" w:rsidP="00A634E4">
      <w:pPr>
        <w:pStyle w:val="NoSpacing"/>
      </w:pPr>
      <w:r w:rsidRPr="00A634E4">
        <w:t>5. Department of Neurological Sciences, Rush University Medical Center, 1653 West Congress Parkway, Chicago, IL 60612, USA.</w:t>
      </w:r>
    </w:p>
    <w:p w:rsidR="00C713CA" w:rsidRDefault="00A634E4" w:rsidP="00A634E4">
      <w:pPr>
        <w:pStyle w:val="NoSpacing"/>
      </w:pPr>
      <w:r w:rsidRPr="00A634E4">
        <w:t>6. Rush Alzheimer’s Disease Center, Rush University Medical Center, 1653 West Congress Parkway, Chicago, IL 60612, USA.</w:t>
      </w:r>
      <w:r w:rsidR="006D06ED">
        <w:br w:type="page"/>
      </w:r>
    </w:p>
    <w:sdt>
      <w:sdtPr>
        <w:rPr>
          <w:rFonts w:asciiTheme="minorHAnsi" w:eastAsiaTheme="minorHAnsi" w:hAnsiTheme="minorHAnsi" w:cstheme="minorBidi"/>
          <w:color w:val="auto"/>
          <w:sz w:val="24"/>
          <w:szCs w:val="24"/>
        </w:rPr>
        <w:id w:val="695502361"/>
        <w:docPartObj>
          <w:docPartGallery w:val="Table of Contents"/>
          <w:docPartUnique/>
        </w:docPartObj>
      </w:sdtPr>
      <w:sdtEndPr>
        <w:rPr>
          <w:b/>
          <w:bCs/>
          <w:noProof/>
        </w:rPr>
      </w:sdtEndPr>
      <w:sdtContent>
        <w:p w:rsidR="00C713CA" w:rsidRDefault="00C713CA">
          <w:pPr>
            <w:pStyle w:val="TOCHeading"/>
          </w:pPr>
          <w:r>
            <w:t>Contents</w:t>
          </w:r>
        </w:p>
        <w:p w:rsidR="00DF5167" w:rsidRDefault="00C713CA">
          <w:pPr>
            <w:pStyle w:val="TOC1"/>
            <w:tabs>
              <w:tab w:val="right" w:leader="dot" w:pos="10790"/>
            </w:tabs>
            <w:rPr>
              <w:rFonts w:eastAsiaTheme="minorEastAsia"/>
              <w:noProof/>
              <w:sz w:val="22"/>
              <w:szCs w:val="22"/>
            </w:rPr>
          </w:pPr>
          <w:r w:rsidRPr="00FA79B9">
            <w:rPr>
              <w:rFonts w:ascii="Times New Roman" w:hAnsi="Times New Roman" w:cs="Times New Roman"/>
            </w:rPr>
            <w:fldChar w:fldCharType="begin"/>
          </w:r>
          <w:r w:rsidRPr="00FA79B9">
            <w:rPr>
              <w:rFonts w:ascii="Times New Roman" w:hAnsi="Times New Roman" w:cs="Times New Roman"/>
            </w:rPr>
            <w:instrText xml:space="preserve"> TOC \o "1-3" \h \z \u </w:instrText>
          </w:r>
          <w:r w:rsidRPr="00FA79B9">
            <w:rPr>
              <w:rFonts w:ascii="Times New Roman" w:hAnsi="Times New Roman" w:cs="Times New Roman"/>
            </w:rPr>
            <w:fldChar w:fldCharType="separate"/>
          </w:r>
          <w:hyperlink w:anchor="_Toc86156116" w:history="1">
            <w:r w:rsidR="00DF5167" w:rsidRPr="00B2628F">
              <w:rPr>
                <w:rStyle w:val="Hyperlink"/>
                <w:noProof/>
              </w:rPr>
              <w:t>Supplementary Methods</w:t>
            </w:r>
            <w:r w:rsidR="00DF5167">
              <w:rPr>
                <w:noProof/>
                <w:webHidden/>
              </w:rPr>
              <w:tab/>
            </w:r>
            <w:r w:rsidR="00DF5167">
              <w:rPr>
                <w:noProof/>
                <w:webHidden/>
              </w:rPr>
              <w:fldChar w:fldCharType="begin"/>
            </w:r>
            <w:r w:rsidR="00DF5167">
              <w:rPr>
                <w:noProof/>
                <w:webHidden/>
              </w:rPr>
              <w:instrText xml:space="preserve"> PAGEREF _Toc86156116 \h </w:instrText>
            </w:r>
            <w:r w:rsidR="00DF5167">
              <w:rPr>
                <w:noProof/>
                <w:webHidden/>
              </w:rPr>
            </w:r>
            <w:r w:rsidR="00DF5167">
              <w:rPr>
                <w:noProof/>
                <w:webHidden/>
              </w:rPr>
              <w:fldChar w:fldCharType="separate"/>
            </w:r>
            <w:r w:rsidR="00DF5167">
              <w:rPr>
                <w:noProof/>
                <w:webHidden/>
              </w:rPr>
              <w:t>3</w:t>
            </w:r>
            <w:r w:rsidR="00DF5167">
              <w:rPr>
                <w:noProof/>
                <w:webHidden/>
              </w:rPr>
              <w:fldChar w:fldCharType="end"/>
            </w:r>
          </w:hyperlink>
        </w:p>
        <w:p w:rsidR="00DF5167" w:rsidRDefault="00BA4497">
          <w:pPr>
            <w:pStyle w:val="TOC2"/>
            <w:tabs>
              <w:tab w:val="right" w:leader="dot" w:pos="10790"/>
            </w:tabs>
            <w:rPr>
              <w:rFonts w:eastAsiaTheme="minorEastAsia"/>
              <w:noProof/>
              <w:sz w:val="22"/>
              <w:szCs w:val="22"/>
            </w:rPr>
          </w:pPr>
          <w:hyperlink w:anchor="_Toc86156117" w:history="1">
            <w:r w:rsidR="00DF5167" w:rsidRPr="00B2628F">
              <w:rPr>
                <w:rStyle w:val="Hyperlink"/>
                <w:rFonts w:eastAsia="Times New Roman"/>
                <w:noProof/>
              </w:rPr>
              <w:t>Neuropathological assessment details</w:t>
            </w:r>
            <w:r w:rsidR="00DF5167">
              <w:rPr>
                <w:noProof/>
                <w:webHidden/>
              </w:rPr>
              <w:tab/>
            </w:r>
            <w:r w:rsidR="00DF5167">
              <w:rPr>
                <w:noProof/>
                <w:webHidden/>
              </w:rPr>
              <w:fldChar w:fldCharType="begin"/>
            </w:r>
            <w:r w:rsidR="00DF5167">
              <w:rPr>
                <w:noProof/>
                <w:webHidden/>
              </w:rPr>
              <w:instrText xml:space="preserve"> PAGEREF _Toc86156117 \h </w:instrText>
            </w:r>
            <w:r w:rsidR="00DF5167">
              <w:rPr>
                <w:noProof/>
                <w:webHidden/>
              </w:rPr>
            </w:r>
            <w:r w:rsidR="00DF5167">
              <w:rPr>
                <w:noProof/>
                <w:webHidden/>
              </w:rPr>
              <w:fldChar w:fldCharType="separate"/>
            </w:r>
            <w:r w:rsidR="00DF5167">
              <w:rPr>
                <w:noProof/>
                <w:webHidden/>
              </w:rPr>
              <w:t>3</w:t>
            </w:r>
            <w:r w:rsidR="00DF5167">
              <w:rPr>
                <w:noProof/>
                <w:webHidden/>
              </w:rPr>
              <w:fldChar w:fldCharType="end"/>
            </w:r>
          </w:hyperlink>
        </w:p>
        <w:p w:rsidR="00DF5167" w:rsidRDefault="00BA4497">
          <w:pPr>
            <w:pStyle w:val="TOC2"/>
            <w:tabs>
              <w:tab w:val="right" w:leader="dot" w:pos="10790"/>
            </w:tabs>
            <w:rPr>
              <w:rFonts w:eastAsiaTheme="minorEastAsia"/>
              <w:noProof/>
              <w:sz w:val="22"/>
              <w:szCs w:val="22"/>
            </w:rPr>
          </w:pPr>
          <w:hyperlink w:anchor="_Toc86156118" w:history="1">
            <w:r w:rsidR="00DF5167" w:rsidRPr="00B2628F">
              <w:rPr>
                <w:rStyle w:val="Hyperlink"/>
                <w:rFonts w:eastAsia="Times New Roman"/>
                <w:noProof/>
              </w:rPr>
              <w:t>Isolation of Peripheral blood monocytes</w:t>
            </w:r>
            <w:r w:rsidR="00DF5167">
              <w:rPr>
                <w:noProof/>
                <w:webHidden/>
              </w:rPr>
              <w:tab/>
            </w:r>
            <w:r w:rsidR="00DF5167">
              <w:rPr>
                <w:noProof/>
                <w:webHidden/>
              </w:rPr>
              <w:fldChar w:fldCharType="begin"/>
            </w:r>
            <w:r w:rsidR="00DF5167">
              <w:rPr>
                <w:noProof/>
                <w:webHidden/>
              </w:rPr>
              <w:instrText xml:space="preserve"> PAGEREF _Toc86156118 \h </w:instrText>
            </w:r>
            <w:r w:rsidR="00DF5167">
              <w:rPr>
                <w:noProof/>
                <w:webHidden/>
              </w:rPr>
            </w:r>
            <w:r w:rsidR="00DF5167">
              <w:rPr>
                <w:noProof/>
                <w:webHidden/>
              </w:rPr>
              <w:fldChar w:fldCharType="separate"/>
            </w:r>
            <w:r w:rsidR="00DF5167">
              <w:rPr>
                <w:noProof/>
                <w:webHidden/>
              </w:rPr>
              <w:t>4</w:t>
            </w:r>
            <w:r w:rsidR="00DF5167">
              <w:rPr>
                <w:noProof/>
                <w:webHidden/>
              </w:rPr>
              <w:fldChar w:fldCharType="end"/>
            </w:r>
          </w:hyperlink>
        </w:p>
        <w:p w:rsidR="00DF5167" w:rsidRDefault="00BA4497">
          <w:pPr>
            <w:pStyle w:val="TOC2"/>
            <w:tabs>
              <w:tab w:val="right" w:leader="dot" w:pos="10790"/>
            </w:tabs>
            <w:rPr>
              <w:rFonts w:eastAsiaTheme="minorEastAsia"/>
              <w:noProof/>
              <w:sz w:val="22"/>
              <w:szCs w:val="22"/>
            </w:rPr>
          </w:pPr>
          <w:hyperlink w:anchor="_Toc86156119" w:history="1">
            <w:r w:rsidR="00DF5167" w:rsidRPr="00B2628F">
              <w:rPr>
                <w:rStyle w:val="Hyperlink"/>
                <w:rFonts w:eastAsia="Times New Roman"/>
                <w:noProof/>
              </w:rPr>
              <w:t>Sequencing of RNA from Monocytes</w:t>
            </w:r>
            <w:r w:rsidR="00DF5167">
              <w:rPr>
                <w:noProof/>
                <w:webHidden/>
              </w:rPr>
              <w:tab/>
            </w:r>
            <w:r w:rsidR="00DF5167">
              <w:rPr>
                <w:noProof/>
                <w:webHidden/>
              </w:rPr>
              <w:fldChar w:fldCharType="begin"/>
            </w:r>
            <w:r w:rsidR="00DF5167">
              <w:rPr>
                <w:noProof/>
                <w:webHidden/>
              </w:rPr>
              <w:instrText xml:space="preserve"> PAGEREF _Toc86156119 \h </w:instrText>
            </w:r>
            <w:r w:rsidR="00DF5167">
              <w:rPr>
                <w:noProof/>
                <w:webHidden/>
              </w:rPr>
            </w:r>
            <w:r w:rsidR="00DF5167">
              <w:rPr>
                <w:noProof/>
                <w:webHidden/>
              </w:rPr>
              <w:fldChar w:fldCharType="separate"/>
            </w:r>
            <w:r w:rsidR="00DF5167">
              <w:rPr>
                <w:noProof/>
                <w:webHidden/>
              </w:rPr>
              <w:t>4</w:t>
            </w:r>
            <w:r w:rsidR="00DF5167">
              <w:rPr>
                <w:noProof/>
                <w:webHidden/>
              </w:rPr>
              <w:fldChar w:fldCharType="end"/>
            </w:r>
          </w:hyperlink>
        </w:p>
        <w:p w:rsidR="00DF5167" w:rsidRDefault="00BA4497">
          <w:pPr>
            <w:pStyle w:val="TOC2"/>
            <w:tabs>
              <w:tab w:val="right" w:leader="dot" w:pos="10790"/>
            </w:tabs>
            <w:rPr>
              <w:rFonts w:eastAsiaTheme="minorEastAsia"/>
              <w:noProof/>
              <w:sz w:val="22"/>
              <w:szCs w:val="22"/>
            </w:rPr>
          </w:pPr>
          <w:hyperlink w:anchor="_Toc86156120" w:history="1">
            <w:r w:rsidR="00DF5167" w:rsidRPr="00B2628F">
              <w:rPr>
                <w:rStyle w:val="Hyperlink"/>
                <w:rFonts w:eastAsia="Times New Roman"/>
                <w:noProof/>
              </w:rPr>
              <w:t>Sequencing of RNA from Bulk brain (DLPFC)</w:t>
            </w:r>
            <w:r w:rsidR="00DF5167">
              <w:rPr>
                <w:noProof/>
                <w:webHidden/>
              </w:rPr>
              <w:tab/>
            </w:r>
            <w:r w:rsidR="00DF5167">
              <w:rPr>
                <w:noProof/>
                <w:webHidden/>
              </w:rPr>
              <w:fldChar w:fldCharType="begin"/>
            </w:r>
            <w:r w:rsidR="00DF5167">
              <w:rPr>
                <w:noProof/>
                <w:webHidden/>
              </w:rPr>
              <w:instrText xml:space="preserve"> PAGEREF _Toc86156120 \h </w:instrText>
            </w:r>
            <w:r w:rsidR="00DF5167">
              <w:rPr>
                <w:noProof/>
                <w:webHidden/>
              </w:rPr>
            </w:r>
            <w:r w:rsidR="00DF5167">
              <w:rPr>
                <w:noProof/>
                <w:webHidden/>
              </w:rPr>
              <w:fldChar w:fldCharType="separate"/>
            </w:r>
            <w:r w:rsidR="00DF5167">
              <w:rPr>
                <w:noProof/>
                <w:webHidden/>
              </w:rPr>
              <w:t>4</w:t>
            </w:r>
            <w:r w:rsidR="00DF5167">
              <w:rPr>
                <w:noProof/>
                <w:webHidden/>
              </w:rPr>
              <w:fldChar w:fldCharType="end"/>
            </w:r>
          </w:hyperlink>
        </w:p>
        <w:p w:rsidR="00DF5167" w:rsidRDefault="00BA4497">
          <w:pPr>
            <w:pStyle w:val="TOC2"/>
            <w:tabs>
              <w:tab w:val="right" w:leader="dot" w:pos="10790"/>
            </w:tabs>
            <w:rPr>
              <w:rFonts w:eastAsiaTheme="minorEastAsia"/>
              <w:noProof/>
              <w:sz w:val="22"/>
              <w:szCs w:val="22"/>
            </w:rPr>
          </w:pPr>
          <w:hyperlink w:anchor="_Toc86156121" w:history="1">
            <w:r w:rsidR="00DF5167" w:rsidRPr="00B2628F">
              <w:rPr>
                <w:rStyle w:val="Hyperlink"/>
                <w:noProof/>
              </w:rPr>
              <w:t>Supplementary Table Descriptions</w:t>
            </w:r>
            <w:r w:rsidR="00DF5167">
              <w:rPr>
                <w:noProof/>
                <w:webHidden/>
              </w:rPr>
              <w:tab/>
            </w:r>
            <w:r w:rsidR="00DF5167">
              <w:rPr>
                <w:noProof/>
                <w:webHidden/>
              </w:rPr>
              <w:fldChar w:fldCharType="begin"/>
            </w:r>
            <w:r w:rsidR="00DF5167">
              <w:rPr>
                <w:noProof/>
                <w:webHidden/>
              </w:rPr>
              <w:instrText xml:space="preserve"> PAGEREF _Toc86156121 \h </w:instrText>
            </w:r>
            <w:r w:rsidR="00DF5167">
              <w:rPr>
                <w:noProof/>
                <w:webHidden/>
              </w:rPr>
            </w:r>
            <w:r w:rsidR="00DF5167">
              <w:rPr>
                <w:noProof/>
                <w:webHidden/>
              </w:rPr>
              <w:fldChar w:fldCharType="separate"/>
            </w:r>
            <w:r w:rsidR="00DF5167">
              <w:rPr>
                <w:noProof/>
                <w:webHidden/>
              </w:rPr>
              <w:t>6</w:t>
            </w:r>
            <w:r w:rsidR="00DF5167">
              <w:rPr>
                <w:noProof/>
                <w:webHidden/>
              </w:rPr>
              <w:fldChar w:fldCharType="end"/>
            </w:r>
          </w:hyperlink>
        </w:p>
        <w:p w:rsidR="00DF5167" w:rsidRDefault="00BA4497">
          <w:pPr>
            <w:pStyle w:val="TOC2"/>
            <w:tabs>
              <w:tab w:val="right" w:leader="dot" w:pos="10790"/>
            </w:tabs>
            <w:rPr>
              <w:rFonts w:eastAsiaTheme="minorEastAsia"/>
              <w:noProof/>
              <w:sz w:val="22"/>
              <w:szCs w:val="22"/>
            </w:rPr>
          </w:pPr>
          <w:hyperlink w:anchor="_Toc86156122" w:history="1">
            <w:r w:rsidR="00DF5167" w:rsidRPr="00B2628F">
              <w:rPr>
                <w:rStyle w:val="Hyperlink"/>
                <w:noProof/>
              </w:rPr>
              <w:t>Supplementary Figure Legends</w:t>
            </w:r>
            <w:r w:rsidR="00DF5167">
              <w:rPr>
                <w:noProof/>
                <w:webHidden/>
              </w:rPr>
              <w:tab/>
            </w:r>
            <w:r w:rsidR="00DF5167">
              <w:rPr>
                <w:noProof/>
                <w:webHidden/>
              </w:rPr>
              <w:fldChar w:fldCharType="begin"/>
            </w:r>
            <w:r w:rsidR="00DF5167">
              <w:rPr>
                <w:noProof/>
                <w:webHidden/>
              </w:rPr>
              <w:instrText xml:space="preserve"> PAGEREF _Toc86156122 \h </w:instrText>
            </w:r>
            <w:r w:rsidR="00DF5167">
              <w:rPr>
                <w:noProof/>
                <w:webHidden/>
              </w:rPr>
            </w:r>
            <w:r w:rsidR="00DF5167">
              <w:rPr>
                <w:noProof/>
                <w:webHidden/>
              </w:rPr>
              <w:fldChar w:fldCharType="separate"/>
            </w:r>
            <w:r w:rsidR="00DF5167">
              <w:rPr>
                <w:noProof/>
                <w:webHidden/>
              </w:rPr>
              <w:t>6</w:t>
            </w:r>
            <w:r w:rsidR="00DF5167">
              <w:rPr>
                <w:noProof/>
                <w:webHidden/>
              </w:rPr>
              <w:fldChar w:fldCharType="end"/>
            </w:r>
          </w:hyperlink>
        </w:p>
        <w:p w:rsidR="00DF5167" w:rsidRDefault="00BA4497">
          <w:pPr>
            <w:pStyle w:val="TOC2"/>
            <w:tabs>
              <w:tab w:val="right" w:leader="dot" w:pos="10790"/>
            </w:tabs>
            <w:rPr>
              <w:rFonts w:eastAsiaTheme="minorEastAsia"/>
              <w:noProof/>
              <w:sz w:val="22"/>
              <w:szCs w:val="22"/>
            </w:rPr>
          </w:pPr>
          <w:hyperlink w:anchor="_Toc86156123" w:history="1">
            <w:r w:rsidR="00DF5167" w:rsidRPr="00B2628F">
              <w:rPr>
                <w:rStyle w:val="Hyperlink"/>
                <w:noProof/>
              </w:rPr>
              <w:t>Supplementary References</w:t>
            </w:r>
            <w:r w:rsidR="00DF5167">
              <w:rPr>
                <w:noProof/>
                <w:webHidden/>
              </w:rPr>
              <w:tab/>
            </w:r>
            <w:r w:rsidR="00DF5167">
              <w:rPr>
                <w:noProof/>
                <w:webHidden/>
              </w:rPr>
              <w:fldChar w:fldCharType="begin"/>
            </w:r>
            <w:r w:rsidR="00DF5167">
              <w:rPr>
                <w:noProof/>
                <w:webHidden/>
              </w:rPr>
              <w:instrText xml:space="preserve"> PAGEREF _Toc86156123 \h </w:instrText>
            </w:r>
            <w:r w:rsidR="00DF5167">
              <w:rPr>
                <w:noProof/>
                <w:webHidden/>
              </w:rPr>
            </w:r>
            <w:r w:rsidR="00DF5167">
              <w:rPr>
                <w:noProof/>
                <w:webHidden/>
              </w:rPr>
              <w:fldChar w:fldCharType="separate"/>
            </w:r>
            <w:r w:rsidR="00DF5167">
              <w:rPr>
                <w:noProof/>
                <w:webHidden/>
              </w:rPr>
              <w:t>7</w:t>
            </w:r>
            <w:r w:rsidR="00DF5167">
              <w:rPr>
                <w:noProof/>
                <w:webHidden/>
              </w:rPr>
              <w:fldChar w:fldCharType="end"/>
            </w:r>
          </w:hyperlink>
        </w:p>
        <w:p w:rsidR="00DF5167" w:rsidRDefault="00C713CA" w:rsidP="00C713CA">
          <w:pPr>
            <w:rPr>
              <w:noProof/>
            </w:rPr>
          </w:pPr>
          <w:r w:rsidRPr="00FA79B9">
            <w:rPr>
              <w:rFonts w:ascii="Times New Roman" w:hAnsi="Times New Roman" w:cs="Times New Roman"/>
              <w:b/>
              <w:bCs/>
              <w:noProof/>
            </w:rPr>
            <w:fldChar w:fldCharType="end"/>
          </w:r>
          <w:r w:rsidR="00FA79B9" w:rsidRPr="00FA79B9">
            <w:rPr>
              <w:rFonts w:ascii="Times New Roman" w:hAnsi="Times New Roman" w:cs="Times New Roman"/>
              <w:b/>
              <w:bCs/>
              <w:noProof/>
            </w:rPr>
            <w:fldChar w:fldCharType="begin"/>
          </w:r>
          <w:r w:rsidR="00FA79B9" w:rsidRPr="00FA79B9">
            <w:rPr>
              <w:rFonts w:ascii="Times New Roman" w:hAnsi="Times New Roman" w:cs="Times New Roman"/>
              <w:b/>
              <w:bCs/>
              <w:noProof/>
            </w:rPr>
            <w:instrText xml:space="preserve"> TOC \h \z \c "Supplementary Figure" </w:instrText>
          </w:r>
          <w:r w:rsidR="00FA79B9" w:rsidRPr="00FA79B9">
            <w:rPr>
              <w:rFonts w:ascii="Times New Roman" w:hAnsi="Times New Roman" w:cs="Times New Roman"/>
              <w:b/>
              <w:bCs/>
              <w:noProof/>
            </w:rPr>
            <w:fldChar w:fldCharType="separate"/>
          </w:r>
        </w:p>
        <w:p w:rsidR="00DF5167" w:rsidRDefault="00BA4497">
          <w:pPr>
            <w:pStyle w:val="TableofFigures"/>
            <w:tabs>
              <w:tab w:val="right" w:leader="dot" w:pos="10790"/>
            </w:tabs>
            <w:rPr>
              <w:rFonts w:eastAsiaTheme="minorEastAsia"/>
              <w:noProof/>
              <w:sz w:val="22"/>
              <w:szCs w:val="22"/>
            </w:rPr>
          </w:pPr>
          <w:hyperlink w:anchor="_Toc86156124" w:history="1">
            <w:r w:rsidR="00DF5167" w:rsidRPr="006E58E3">
              <w:rPr>
                <w:rStyle w:val="Hyperlink"/>
                <w:noProof/>
              </w:rPr>
              <w:t>Supplementary Figure 1</w:t>
            </w:r>
            <w:r w:rsidR="00DF5167">
              <w:rPr>
                <w:noProof/>
                <w:webHidden/>
              </w:rPr>
              <w:tab/>
            </w:r>
            <w:r w:rsidR="00DF5167">
              <w:rPr>
                <w:noProof/>
                <w:webHidden/>
              </w:rPr>
              <w:fldChar w:fldCharType="begin"/>
            </w:r>
            <w:r w:rsidR="00DF5167">
              <w:rPr>
                <w:noProof/>
                <w:webHidden/>
              </w:rPr>
              <w:instrText xml:space="preserve"> PAGEREF _Toc86156124 \h </w:instrText>
            </w:r>
            <w:r w:rsidR="00DF5167">
              <w:rPr>
                <w:noProof/>
                <w:webHidden/>
              </w:rPr>
            </w:r>
            <w:r w:rsidR="00DF5167">
              <w:rPr>
                <w:noProof/>
                <w:webHidden/>
              </w:rPr>
              <w:fldChar w:fldCharType="separate"/>
            </w:r>
            <w:r w:rsidR="00DF5167">
              <w:rPr>
                <w:noProof/>
                <w:webHidden/>
              </w:rPr>
              <w:t>8</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25" w:history="1">
            <w:r w:rsidR="00DF5167" w:rsidRPr="00213433">
              <w:rPr>
                <w:rStyle w:val="Hyperlink"/>
                <w:noProof/>
              </w:rPr>
              <w:t>Supplementary Figure 2</w:t>
            </w:r>
            <w:r w:rsidR="00DF5167">
              <w:rPr>
                <w:noProof/>
                <w:webHidden/>
              </w:rPr>
              <w:tab/>
            </w:r>
            <w:r w:rsidR="00DF5167">
              <w:rPr>
                <w:noProof/>
                <w:webHidden/>
              </w:rPr>
              <w:fldChar w:fldCharType="begin"/>
            </w:r>
            <w:r w:rsidR="00DF5167">
              <w:rPr>
                <w:noProof/>
                <w:webHidden/>
              </w:rPr>
              <w:instrText xml:space="preserve"> PAGEREF _Toc86156125 \h </w:instrText>
            </w:r>
            <w:r w:rsidR="00DF5167">
              <w:rPr>
                <w:noProof/>
                <w:webHidden/>
              </w:rPr>
            </w:r>
            <w:r w:rsidR="00DF5167">
              <w:rPr>
                <w:noProof/>
                <w:webHidden/>
              </w:rPr>
              <w:fldChar w:fldCharType="separate"/>
            </w:r>
            <w:r w:rsidR="00DF5167">
              <w:rPr>
                <w:noProof/>
                <w:webHidden/>
              </w:rPr>
              <w:t>9</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26" w:history="1">
            <w:r w:rsidR="00DF5167" w:rsidRPr="00213433">
              <w:rPr>
                <w:rStyle w:val="Hyperlink"/>
                <w:noProof/>
              </w:rPr>
              <w:t>Supplementary Figure 3</w:t>
            </w:r>
            <w:r w:rsidR="00DF5167">
              <w:rPr>
                <w:noProof/>
                <w:webHidden/>
              </w:rPr>
              <w:tab/>
            </w:r>
            <w:r w:rsidR="00DF5167">
              <w:rPr>
                <w:noProof/>
                <w:webHidden/>
              </w:rPr>
              <w:fldChar w:fldCharType="begin"/>
            </w:r>
            <w:r w:rsidR="00DF5167">
              <w:rPr>
                <w:noProof/>
                <w:webHidden/>
              </w:rPr>
              <w:instrText xml:space="preserve"> PAGEREF _Toc86156126 \h </w:instrText>
            </w:r>
            <w:r w:rsidR="00DF5167">
              <w:rPr>
                <w:noProof/>
                <w:webHidden/>
              </w:rPr>
            </w:r>
            <w:r w:rsidR="00DF5167">
              <w:rPr>
                <w:noProof/>
                <w:webHidden/>
              </w:rPr>
              <w:fldChar w:fldCharType="separate"/>
            </w:r>
            <w:r w:rsidR="00DF5167">
              <w:rPr>
                <w:noProof/>
                <w:webHidden/>
              </w:rPr>
              <w:t>10</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27" w:history="1">
            <w:r w:rsidR="00DF5167" w:rsidRPr="00213433">
              <w:rPr>
                <w:rStyle w:val="Hyperlink"/>
                <w:noProof/>
              </w:rPr>
              <w:t>Supplementary Figure 4</w:t>
            </w:r>
            <w:r w:rsidR="00DF5167">
              <w:rPr>
                <w:noProof/>
                <w:webHidden/>
              </w:rPr>
              <w:tab/>
            </w:r>
            <w:r w:rsidR="00DF5167">
              <w:rPr>
                <w:noProof/>
                <w:webHidden/>
              </w:rPr>
              <w:fldChar w:fldCharType="begin"/>
            </w:r>
            <w:r w:rsidR="00DF5167">
              <w:rPr>
                <w:noProof/>
                <w:webHidden/>
              </w:rPr>
              <w:instrText xml:space="preserve"> PAGEREF _Toc86156127 \h </w:instrText>
            </w:r>
            <w:r w:rsidR="00DF5167">
              <w:rPr>
                <w:noProof/>
                <w:webHidden/>
              </w:rPr>
            </w:r>
            <w:r w:rsidR="00DF5167">
              <w:rPr>
                <w:noProof/>
                <w:webHidden/>
              </w:rPr>
              <w:fldChar w:fldCharType="separate"/>
            </w:r>
            <w:r w:rsidR="00DF5167">
              <w:rPr>
                <w:noProof/>
                <w:webHidden/>
              </w:rPr>
              <w:t>11</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28" w:history="1">
            <w:r w:rsidR="00DF5167" w:rsidRPr="00213433">
              <w:rPr>
                <w:rStyle w:val="Hyperlink"/>
                <w:noProof/>
              </w:rPr>
              <w:t>Supplementary Figure 5</w:t>
            </w:r>
            <w:r w:rsidR="00DF5167">
              <w:rPr>
                <w:noProof/>
                <w:webHidden/>
              </w:rPr>
              <w:tab/>
            </w:r>
            <w:r w:rsidR="00DF5167">
              <w:rPr>
                <w:noProof/>
                <w:webHidden/>
              </w:rPr>
              <w:fldChar w:fldCharType="begin"/>
            </w:r>
            <w:r w:rsidR="00DF5167">
              <w:rPr>
                <w:noProof/>
                <w:webHidden/>
              </w:rPr>
              <w:instrText xml:space="preserve"> PAGEREF _Toc86156128 \h </w:instrText>
            </w:r>
            <w:r w:rsidR="00DF5167">
              <w:rPr>
                <w:noProof/>
                <w:webHidden/>
              </w:rPr>
            </w:r>
            <w:r w:rsidR="00DF5167">
              <w:rPr>
                <w:noProof/>
                <w:webHidden/>
              </w:rPr>
              <w:fldChar w:fldCharType="separate"/>
            </w:r>
            <w:r w:rsidR="00DF5167">
              <w:rPr>
                <w:noProof/>
                <w:webHidden/>
              </w:rPr>
              <w:t>12</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29" w:history="1">
            <w:r w:rsidR="00DF5167" w:rsidRPr="00213433">
              <w:rPr>
                <w:rStyle w:val="Hyperlink"/>
                <w:noProof/>
              </w:rPr>
              <w:t>Supplementary Figure 6</w:t>
            </w:r>
            <w:r w:rsidR="00DF5167">
              <w:rPr>
                <w:noProof/>
                <w:webHidden/>
              </w:rPr>
              <w:tab/>
            </w:r>
            <w:r w:rsidR="00DF5167">
              <w:rPr>
                <w:noProof/>
                <w:webHidden/>
              </w:rPr>
              <w:fldChar w:fldCharType="begin"/>
            </w:r>
            <w:r w:rsidR="00DF5167">
              <w:rPr>
                <w:noProof/>
                <w:webHidden/>
              </w:rPr>
              <w:instrText xml:space="preserve"> PAGEREF _Toc86156129 \h </w:instrText>
            </w:r>
            <w:r w:rsidR="00DF5167">
              <w:rPr>
                <w:noProof/>
                <w:webHidden/>
              </w:rPr>
            </w:r>
            <w:r w:rsidR="00DF5167">
              <w:rPr>
                <w:noProof/>
                <w:webHidden/>
              </w:rPr>
              <w:fldChar w:fldCharType="separate"/>
            </w:r>
            <w:r w:rsidR="00DF5167">
              <w:rPr>
                <w:noProof/>
                <w:webHidden/>
              </w:rPr>
              <w:t>13</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30" w:history="1">
            <w:r w:rsidR="00DF5167" w:rsidRPr="00213433">
              <w:rPr>
                <w:rStyle w:val="Hyperlink"/>
                <w:noProof/>
              </w:rPr>
              <w:t>Supplementary Figure 7</w:t>
            </w:r>
            <w:r w:rsidR="00DF5167">
              <w:rPr>
                <w:noProof/>
                <w:webHidden/>
              </w:rPr>
              <w:tab/>
            </w:r>
            <w:r w:rsidR="00DF5167">
              <w:rPr>
                <w:noProof/>
                <w:webHidden/>
              </w:rPr>
              <w:fldChar w:fldCharType="begin"/>
            </w:r>
            <w:r w:rsidR="00DF5167">
              <w:rPr>
                <w:noProof/>
                <w:webHidden/>
              </w:rPr>
              <w:instrText xml:space="preserve"> PAGEREF _Toc86156130 \h </w:instrText>
            </w:r>
            <w:r w:rsidR="00DF5167">
              <w:rPr>
                <w:noProof/>
                <w:webHidden/>
              </w:rPr>
            </w:r>
            <w:r w:rsidR="00DF5167">
              <w:rPr>
                <w:noProof/>
                <w:webHidden/>
              </w:rPr>
              <w:fldChar w:fldCharType="separate"/>
            </w:r>
            <w:r w:rsidR="00DF5167">
              <w:rPr>
                <w:noProof/>
                <w:webHidden/>
              </w:rPr>
              <w:t>14</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31" w:history="1">
            <w:r w:rsidR="00DF5167" w:rsidRPr="00213433">
              <w:rPr>
                <w:rStyle w:val="Hyperlink"/>
                <w:noProof/>
              </w:rPr>
              <w:t>Supplementary Figure 8</w:t>
            </w:r>
            <w:r w:rsidR="00DF5167">
              <w:rPr>
                <w:noProof/>
                <w:webHidden/>
              </w:rPr>
              <w:tab/>
            </w:r>
            <w:r w:rsidR="00DF5167">
              <w:rPr>
                <w:noProof/>
                <w:webHidden/>
              </w:rPr>
              <w:fldChar w:fldCharType="begin"/>
            </w:r>
            <w:r w:rsidR="00DF5167">
              <w:rPr>
                <w:noProof/>
                <w:webHidden/>
              </w:rPr>
              <w:instrText xml:space="preserve"> PAGEREF _Toc86156131 \h </w:instrText>
            </w:r>
            <w:r w:rsidR="00DF5167">
              <w:rPr>
                <w:noProof/>
                <w:webHidden/>
              </w:rPr>
            </w:r>
            <w:r w:rsidR="00DF5167">
              <w:rPr>
                <w:noProof/>
                <w:webHidden/>
              </w:rPr>
              <w:fldChar w:fldCharType="separate"/>
            </w:r>
            <w:r w:rsidR="00DF5167">
              <w:rPr>
                <w:noProof/>
                <w:webHidden/>
              </w:rPr>
              <w:t>15</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32" w:history="1">
            <w:r w:rsidR="00DF5167" w:rsidRPr="00213433">
              <w:rPr>
                <w:rStyle w:val="Hyperlink"/>
                <w:noProof/>
              </w:rPr>
              <w:t>Supplementary Figure 9</w:t>
            </w:r>
            <w:r w:rsidR="00DF5167">
              <w:rPr>
                <w:noProof/>
                <w:webHidden/>
              </w:rPr>
              <w:tab/>
            </w:r>
            <w:r w:rsidR="00DF5167">
              <w:rPr>
                <w:noProof/>
                <w:webHidden/>
              </w:rPr>
              <w:fldChar w:fldCharType="begin"/>
            </w:r>
            <w:r w:rsidR="00DF5167">
              <w:rPr>
                <w:noProof/>
                <w:webHidden/>
              </w:rPr>
              <w:instrText xml:space="preserve"> PAGEREF _Toc86156132 \h </w:instrText>
            </w:r>
            <w:r w:rsidR="00DF5167">
              <w:rPr>
                <w:noProof/>
                <w:webHidden/>
              </w:rPr>
            </w:r>
            <w:r w:rsidR="00DF5167">
              <w:rPr>
                <w:noProof/>
                <w:webHidden/>
              </w:rPr>
              <w:fldChar w:fldCharType="separate"/>
            </w:r>
            <w:r w:rsidR="00DF5167">
              <w:rPr>
                <w:noProof/>
                <w:webHidden/>
              </w:rPr>
              <w:t>16</w:t>
            </w:r>
            <w:r w:rsidR="00DF5167">
              <w:rPr>
                <w:noProof/>
                <w:webHidden/>
              </w:rPr>
              <w:fldChar w:fldCharType="end"/>
            </w:r>
          </w:hyperlink>
        </w:p>
        <w:p w:rsidR="00DF5167" w:rsidRDefault="00BA4497">
          <w:pPr>
            <w:pStyle w:val="TableofFigures"/>
            <w:tabs>
              <w:tab w:val="right" w:leader="dot" w:pos="10790"/>
            </w:tabs>
            <w:rPr>
              <w:rFonts w:eastAsiaTheme="minorEastAsia"/>
              <w:noProof/>
              <w:sz w:val="22"/>
              <w:szCs w:val="22"/>
            </w:rPr>
          </w:pPr>
          <w:hyperlink w:anchor="_Toc86156133" w:history="1">
            <w:r w:rsidR="00DF5167" w:rsidRPr="00213433">
              <w:rPr>
                <w:rStyle w:val="Hyperlink"/>
                <w:noProof/>
              </w:rPr>
              <w:t>Supplementary Figure 10</w:t>
            </w:r>
            <w:r w:rsidR="00DF5167">
              <w:rPr>
                <w:noProof/>
                <w:webHidden/>
              </w:rPr>
              <w:tab/>
            </w:r>
            <w:r w:rsidR="00DF5167">
              <w:rPr>
                <w:noProof/>
                <w:webHidden/>
              </w:rPr>
              <w:fldChar w:fldCharType="begin"/>
            </w:r>
            <w:r w:rsidR="00DF5167">
              <w:rPr>
                <w:noProof/>
                <w:webHidden/>
              </w:rPr>
              <w:instrText xml:space="preserve"> PAGEREF _Toc86156133 \h </w:instrText>
            </w:r>
            <w:r w:rsidR="00DF5167">
              <w:rPr>
                <w:noProof/>
                <w:webHidden/>
              </w:rPr>
            </w:r>
            <w:r w:rsidR="00DF5167">
              <w:rPr>
                <w:noProof/>
                <w:webHidden/>
              </w:rPr>
              <w:fldChar w:fldCharType="separate"/>
            </w:r>
            <w:r w:rsidR="00DF5167">
              <w:rPr>
                <w:noProof/>
                <w:webHidden/>
              </w:rPr>
              <w:t>17</w:t>
            </w:r>
            <w:r w:rsidR="00DF5167">
              <w:rPr>
                <w:noProof/>
                <w:webHidden/>
              </w:rPr>
              <w:fldChar w:fldCharType="end"/>
            </w:r>
          </w:hyperlink>
        </w:p>
        <w:p w:rsidR="00230C91" w:rsidRDefault="00FA79B9" w:rsidP="00FA79B9">
          <w:r w:rsidRPr="00FA79B9">
            <w:rPr>
              <w:rFonts w:ascii="Times New Roman" w:hAnsi="Times New Roman" w:cs="Times New Roman"/>
              <w:b/>
              <w:bCs/>
              <w:noProof/>
            </w:rPr>
            <w:fldChar w:fldCharType="end"/>
          </w:r>
        </w:p>
      </w:sdtContent>
    </w:sdt>
    <w:p w:rsidR="007F60D8" w:rsidRDefault="007F60D8">
      <w:pPr>
        <w:spacing w:after="160" w:line="259" w:lineRule="auto"/>
      </w:pPr>
      <w:r>
        <w:br w:type="page"/>
      </w:r>
    </w:p>
    <w:p w:rsidR="007F60D8" w:rsidRPr="00C713CA" w:rsidRDefault="007F60D8" w:rsidP="00C713CA">
      <w:pPr>
        <w:pStyle w:val="Heading1"/>
      </w:pPr>
      <w:bookmarkStart w:id="0" w:name="_Toc86156116"/>
      <w:r>
        <w:lastRenderedPageBreak/>
        <w:t>Supplementary Methods</w:t>
      </w:r>
      <w:bookmarkEnd w:id="0"/>
    </w:p>
    <w:p w:rsidR="007F60D8" w:rsidRPr="001A78FC" w:rsidRDefault="007F60D8" w:rsidP="007F60D8">
      <w:pPr>
        <w:pStyle w:val="Heading2"/>
        <w:rPr>
          <w:rFonts w:eastAsia="Times New Roman"/>
        </w:rPr>
      </w:pPr>
      <w:bookmarkStart w:id="1" w:name="_Toc86156117"/>
      <w:r>
        <w:rPr>
          <w:rFonts w:eastAsia="Times New Roman"/>
        </w:rPr>
        <w:t>Neuropathological assessment details</w:t>
      </w:r>
      <w:bookmarkEnd w:id="1"/>
    </w:p>
    <w:p w:rsidR="007F60D8" w:rsidRDefault="00FD5617" w:rsidP="007F60D8">
      <w:pPr>
        <w:pStyle w:val="NoSpacing"/>
      </w:pPr>
      <w:r>
        <w:t xml:space="preserve">These details related to neuropathological measurements have been previously published as supplementary methods in </w:t>
      </w:r>
      <w:proofErr w:type="spellStart"/>
      <w:r>
        <w:t>Felsky</w:t>
      </w:r>
      <w:proofErr w:type="spellEnd"/>
      <w:r>
        <w:t xml:space="preserve"> et al., 2019</w:t>
      </w:r>
      <w:r>
        <w:fldChar w:fldCharType="begin"/>
      </w:r>
      <w:r>
        <w:instrText xml:space="preserve"> ADDIN ZOTERO_ITEM CSL_CITATION {"citationID":"XaszgsII","properties":{"formattedCitation":"\\super 1\\nosupersub{}","plainCitation":"1","noteIndex":0},"citationItems":[{"id":5143,"uris":["http://zotero.org/users/687843/items/FUIFKU9E"],"uri":["http://zotero.org/users/687843/items/FUIFKU9E"],"itemData":{"id":5143,"type":"article-journal","abstract":"The consequences of microglial activation in the aging human brain remain unknown. This study quantified microglial morphology and density in the elderly human brain to show that cortical microglial activation strongly associates with AD pathogenesis and may be an upstream contributor to cognitive decline via the accumulation of tau pathology.","container-title":"Nature Communications","DOI":"10.1038/s41467-018-08279-3","ISSN":"2041-1723","issue":"1","language":"en","page":"409","source":"www.nature.com","title":"Neuropathological correlates and genetic architecture of microglial activation in elderly human brain","volume":"10","author":[{"family":"Felsky","given":"Daniel"},{"family":"Roostaei","given":"Tina"},{"family":"Nho","given":"Kwangsik"},{"family":"Risacher","given":"Shannon L."},{"family":"Bradshaw","given":"Elizabeth M."},{"family":"Petyuk","given":"Vlad"},{"family":"Schneider","given":"Julie A."},{"family":"Saykin","given":"Andrew"},{"family":"Bennett","given":"David A."},{"family":"Jager","given":"Philip L. De"}],"issued":{"date-parts":[["2019",1,24]]}}}],"schema":"https://github.com/citation-style-language/schema/raw/master/csl-citation.json"} </w:instrText>
      </w:r>
      <w:r>
        <w:fldChar w:fldCharType="separate"/>
      </w:r>
      <w:r w:rsidRPr="00FD5617">
        <w:rPr>
          <w:rFonts w:cs="Times New Roman"/>
          <w:szCs w:val="24"/>
          <w:vertAlign w:val="superscript"/>
        </w:rPr>
        <w:t>1</w:t>
      </w:r>
      <w:r>
        <w:fldChar w:fldCharType="end"/>
      </w:r>
      <w:r w:rsidR="00BA4497">
        <w:t xml:space="preserve"> and are included here for reader convenience</w:t>
      </w:r>
      <w:r>
        <w:t xml:space="preserve">. </w:t>
      </w:r>
      <w:r w:rsidR="007F60D8" w:rsidRPr="007F60D8">
        <w:t>All brains were examined by a board-certified neuropathologist blinded to clinical data. After weighing, each brain was cut into 1cm coronal slabs using a Plexiglas jig. Slabs from one hemisphere, and slabs from the other hemisphere not designated for rapid freezing, were fixed for at least 3 days in 4% parafor</w:t>
      </w:r>
      <w:bookmarkStart w:id="2" w:name="_GoBack"/>
      <w:bookmarkEnd w:id="2"/>
      <w:r w:rsidR="007F60D8" w:rsidRPr="007F60D8">
        <w:t xml:space="preserve">maldehyde. We used defined landmarks to obtain at least two tissue blocks from each of the following regions: dorsolateral prefrontal cortex, middle and inferior temporal cortex, inferior parietal, hippocampus CA1/subiculum, entorhinal cortex proper, ventromedial caudate, and posterior putamen. Tissue blocks were processed, embedded in paraffin, cut into either 6 micron or 20μm sections, and mounted on glass slides. </w:t>
      </w:r>
      <w:proofErr w:type="spellStart"/>
      <w:r w:rsidR="007F60D8" w:rsidRPr="007F60D8">
        <w:t>Neuropathologic</w:t>
      </w:r>
      <w:proofErr w:type="spellEnd"/>
      <w:r w:rsidR="007F60D8" w:rsidRPr="007F60D8">
        <w:t xml:space="preserve"> diagnoses were made by a board-certified neuropathologist blinded to age and clinical data. </w:t>
      </w:r>
      <w:proofErr w:type="spellStart"/>
      <w:r w:rsidR="007F60D8" w:rsidRPr="007F60D8">
        <w:t>Bielschowsky</w:t>
      </w:r>
      <w:proofErr w:type="spellEnd"/>
      <w:r w:rsidR="007F60D8" w:rsidRPr="007F60D8">
        <w:t xml:space="preserve"> silver stain 6 micron sections were used to visualize </w:t>
      </w:r>
      <w:proofErr w:type="spellStart"/>
      <w:r w:rsidR="007F60D8" w:rsidRPr="007F60D8">
        <w:t>neuritic</w:t>
      </w:r>
      <w:proofErr w:type="spellEnd"/>
      <w:r w:rsidR="007F60D8" w:rsidRPr="007F60D8">
        <w:t xml:space="preserve"> plaques, diffuse plaques, and neurofibrillary tangles in the frontal, temporal, parietal, entorhinal, and hippocampal cortices, as previously described,</w:t>
      </w:r>
      <w:r w:rsidR="007F60D8" w:rsidRPr="007F60D8">
        <w:fldChar w:fldCharType="begin"/>
      </w:r>
      <w:r>
        <w:instrText xml:space="preserve"> ADDIN ZOTERO_ITEM CSL_CITATION {"citationID":"alut11807d","properties":{"formattedCitation":"\\super 2\\nosupersub{}","plainCitation":"2","noteIndex":0},"citationItems":[{"id":1484,"uris":["http://zotero.org/users/687843/items/QH2IED4B"],"uri":["http://zotero.org/users/687843/items/QH2IED4B"],"itemData":{"id":1484,"type":"article-journal","abstract":"BACKGROUND: Alzheimer disease (AD) is the most common cause of dementia. The effect of cerebral infarctions on the likelihood of dementia from AD pathology is not well understood.\nMETHODS: The study included 153 deceased Catholic clergy who participated in the Religious Orders Study. Annual evaluations, including 19 tests of cognitive function, were performed to determine a diagnosis of dementia and level of cognitive abilities proximate to death. At autopsy, neuritic and diffuse plaques and neurofibrillary tangles were counted and combined into a standardized summary measure of AD pathology. Number, volume, side, and distribution of old macroscopic infarctions were recorded. Analyses included logistic and linear regression, adjusting for age, sex, and education.\nRESULTS: The AD pathology score ranged from 0 to 2.93 units, and 54 persons had infarctions. There was no relationship between AD pathology and infarctions (r = 0.04, p = 0.56). Each unit of AD pathology increased the odds of dementia by 4.40-fold (95% CI = 2.33 to 8.32), and this was essentially unchanged after accounting for infarctions. The presence of one or more infarctions independently increased the odds of dementia by 2.80-fold (95% CI = 1.26 to 6.21). There was no interaction between AD pathology and infarctions to further increase the likelihood of dementia (p = 0.39). The number, size, and distribution of infarctions added to the odds of dementia but also did not show an interaction with AD pathology. Similar results were found in analyses with global cognitive function and five different cognitive systems.\nCONCLUSION: Cerebral infarctions independently contribute to the likelihood of dementia but do not interact with AD pathology to increase the likelihood of dementia beyond their additive effect.","container-title":"Neurology","ISSN":"1526-632X","issue":"7","journalAbbreviation":"Neurology","language":"eng","note":"PMID: 15079015","page":"1148-1155","source":"PubMed","title":"Cerebral infarctions and the likelihood of dementia from Alzheimer disease pathology","volume":"62","author":[{"family":"Schneider","given":"Julie A."},{"family":"Wilson","given":"R. S."},{"family":"Bienias","given":"J. L."},{"family":"Evans","given":"D. A."},{"family":"Bennett","given":"D. A."}],"issued":{"date-parts":[["2004",4,13]]}}}],"schema":"https://github.com/citation-style-language/schema/raw/master/csl-citation.json"} </w:instrText>
      </w:r>
      <w:r w:rsidR="007F60D8" w:rsidRPr="007F60D8">
        <w:fldChar w:fldCharType="separate"/>
      </w:r>
      <w:r w:rsidRPr="00FD5617">
        <w:rPr>
          <w:rFonts w:cs="Times New Roman"/>
          <w:szCs w:val="24"/>
          <w:vertAlign w:val="superscript"/>
        </w:rPr>
        <w:t>2</w:t>
      </w:r>
      <w:r w:rsidR="007F60D8" w:rsidRPr="007F60D8">
        <w:fldChar w:fldCharType="end"/>
      </w:r>
      <w:r w:rsidR="007F60D8" w:rsidRPr="007F60D8">
        <w:t xml:space="preserve"> for the pathologic diagnosis of AD. A </w:t>
      </w:r>
      <w:proofErr w:type="spellStart"/>
      <w:r w:rsidR="007F60D8" w:rsidRPr="007F60D8">
        <w:t>neuropathologic</w:t>
      </w:r>
      <w:proofErr w:type="spellEnd"/>
      <w:r w:rsidR="007F60D8" w:rsidRPr="007F60D8">
        <w:t xml:space="preserve"> diagnosis of “no AD,” “low likelihood AD,” “intermediate likelihood AD,” or “high likelihood AD” was given based on </w:t>
      </w:r>
      <w:proofErr w:type="spellStart"/>
      <w:r w:rsidR="007F60D8" w:rsidRPr="007F60D8">
        <w:t>semiquantitative</w:t>
      </w:r>
      <w:proofErr w:type="spellEnd"/>
      <w:r w:rsidR="007F60D8" w:rsidRPr="007F60D8">
        <w:t xml:space="preserve"> estimates of </w:t>
      </w:r>
      <w:proofErr w:type="spellStart"/>
      <w:r w:rsidR="007F60D8" w:rsidRPr="007F60D8">
        <w:t>neuritic</w:t>
      </w:r>
      <w:proofErr w:type="spellEnd"/>
      <w:r w:rsidR="007F60D8" w:rsidRPr="007F60D8">
        <w:t xml:space="preserve"> plaque density as recommended by CERAD and the neurofibrillary tangle stage by </w:t>
      </w:r>
      <w:proofErr w:type="spellStart"/>
      <w:r w:rsidR="007F60D8" w:rsidRPr="007F60D8">
        <w:t>Braak</w:t>
      </w:r>
      <w:proofErr w:type="spellEnd"/>
      <w:r w:rsidR="007F60D8" w:rsidRPr="007F60D8">
        <w:t xml:space="preserve"> and </w:t>
      </w:r>
      <w:proofErr w:type="spellStart"/>
      <w:r w:rsidR="007F60D8" w:rsidRPr="007F60D8">
        <w:t>Braak</w:t>
      </w:r>
      <w:proofErr w:type="spellEnd"/>
      <w:r w:rsidR="007F60D8" w:rsidRPr="007F60D8">
        <w:t xml:space="preserve"> as recommended by the National Institute on Aging (NIA) - Reagan criteria. For analyses, the </w:t>
      </w:r>
      <w:proofErr w:type="spellStart"/>
      <w:r w:rsidR="007F60D8" w:rsidRPr="007F60D8">
        <w:t>neuropathologic</w:t>
      </w:r>
      <w:proofErr w:type="spellEnd"/>
      <w:r w:rsidR="007F60D8" w:rsidRPr="007F60D8">
        <w:t xml:space="preserve"> diagnosis of AD was considered absent if NIA-Reagan diagnosis was no or low and present if intermediate or high likelihood. The density of </w:t>
      </w:r>
      <w:proofErr w:type="spellStart"/>
      <w:r w:rsidR="007F60D8" w:rsidRPr="007F60D8">
        <w:t>neuritic</w:t>
      </w:r>
      <w:proofErr w:type="spellEnd"/>
      <w:r w:rsidR="007F60D8" w:rsidRPr="007F60D8">
        <w:t xml:space="preserve"> plaques, diffuse plaques and neurofibrillary tangles was characterized using </w:t>
      </w:r>
      <w:proofErr w:type="spellStart"/>
      <w:r w:rsidR="007F60D8" w:rsidRPr="007F60D8">
        <w:t>Bielschowsky</w:t>
      </w:r>
      <w:proofErr w:type="spellEnd"/>
      <w:r w:rsidR="007F60D8" w:rsidRPr="007F60D8">
        <w:t xml:space="preserve"> silver stain for visualization and a </w:t>
      </w:r>
      <w:proofErr w:type="spellStart"/>
      <w:r w:rsidR="007F60D8" w:rsidRPr="007F60D8">
        <w:t>graticule</w:t>
      </w:r>
      <w:proofErr w:type="spellEnd"/>
      <w:r w:rsidR="007F60D8" w:rsidRPr="007F60D8">
        <w:t xml:space="preserve"> to count total number of each in a 1-mm</w:t>
      </w:r>
      <w:r w:rsidR="007F60D8" w:rsidRPr="007F60D8">
        <w:rPr>
          <w:vertAlign w:val="superscript"/>
        </w:rPr>
        <w:t>2</w:t>
      </w:r>
      <w:r w:rsidR="007F60D8" w:rsidRPr="007F60D8">
        <w:t xml:space="preserve"> area (100 magnification) of highest density. Counts for each marker were completed for each of five regions (</w:t>
      </w:r>
      <w:proofErr w:type="spellStart"/>
      <w:r w:rsidR="007F60D8" w:rsidRPr="007F60D8">
        <w:t>midfrontal</w:t>
      </w:r>
      <w:proofErr w:type="spellEnd"/>
      <w:r w:rsidR="007F60D8" w:rsidRPr="007F60D8">
        <w:t xml:space="preserve"> cortex, middle temporal cortex, inferior parietal cortex, entorhinal cortex, and hippocampus CA1/subiculum) and then converted to standardized scores. Supplementary Table 9 describes the distributions of tau and amyloid </w:t>
      </w:r>
      <w:proofErr w:type="spellStart"/>
      <w:r w:rsidR="007F60D8" w:rsidRPr="007F60D8">
        <w:t>neuropathologies</w:t>
      </w:r>
      <w:proofErr w:type="spellEnd"/>
      <w:r w:rsidR="007F60D8" w:rsidRPr="007F60D8">
        <w:t xml:space="preserve"> in the pathologically confirmed AD and non-AD groups separately for both the entire available ROS/MAP cohort and the sample subset for which postmortem microglial density data were available.</w:t>
      </w:r>
    </w:p>
    <w:p w:rsidR="007F60D8" w:rsidRPr="007F60D8" w:rsidRDefault="007F60D8" w:rsidP="007F60D8">
      <w:pPr>
        <w:pStyle w:val="NoSpacing"/>
      </w:pPr>
    </w:p>
    <w:p w:rsidR="007F60D8" w:rsidRDefault="007F60D8" w:rsidP="007F60D8">
      <w:pPr>
        <w:pStyle w:val="NoSpacing"/>
      </w:pPr>
      <w:r w:rsidRPr="007F60D8">
        <w:t xml:space="preserve">Thirteen additional pathologies were measured in our cohort: </w:t>
      </w:r>
      <w:proofErr w:type="spellStart"/>
      <w:r w:rsidRPr="007F60D8">
        <w:t>Lewy</w:t>
      </w:r>
      <w:proofErr w:type="spellEnd"/>
      <w:r w:rsidRPr="007F60D8">
        <w:t xml:space="preserve"> bodies, macroscopic infarcts (acute, sub-acute, and chronic measured separately), microscopic infarcts (acute, sub-acute, and chronic measured separately), atherosclerosis, arteriolosclerosis, cerebral amyloid </w:t>
      </w:r>
      <w:proofErr w:type="spellStart"/>
      <w:r w:rsidRPr="007F60D8">
        <w:t>angiopathy</w:t>
      </w:r>
      <w:proofErr w:type="spellEnd"/>
      <w:r w:rsidRPr="007F60D8">
        <w:t xml:space="preserve"> (CAA), hippocampal sclerosis, neuronal loss in the substantia nigra,</w:t>
      </w:r>
      <w:r w:rsidRPr="007F60D8">
        <w:fldChar w:fldCharType="begin"/>
      </w:r>
      <w:r w:rsidR="00FD5617">
        <w:instrText xml:space="preserve"> ADDIN ZOTERO_ITEM CSL_CITATION {"citationID":"a2gov7b49d","properties":{"formattedCitation":"\\super 3\\nosupersub{}","plainCitation":"3","noteIndex":0},"citationItems":[{"id":4810,"uris":["http://zotero.org/users/687843/items/CVXWWEQE"],"uri":["http://zotero.org/users/687843/items/CVXWWEQE"],"itemData":{"id":4810,"type":"article-journal","abstract":"Background\nMotor symptoms such as mild parkinsonian signs are common in older persons, but little is known about their underlying neuropathology. We tested the hypothesis that nigral pathology is related to parkinsonism in older persons without Parkinson’s disease (PD).\n\nMethods\nMore than 2,500 persons participating in the Religious Orders Study or the Memory and Aging Project agreed to annual assessment of parkinsonism with a modified version of the Unified Parkinson’s Disease Rating Scale(mUPDRS) and brain donation. Brains from744 deceased participants without PD were assessed for nigral neuronal loss and α-synuclein immunopositive Lewy bodies.\n\nResults\nMean age at death was 88.5. Mean global parkinsonism was 18.6(SD, 11.90). About of cases had mild or more severe nigral neuronal loss and about 17% had Lewy bodies. In separate regression models which adjusted for age, sex and education, nigral neuronal loss and Lewy bodies were both related to global parkinsonism[(Neuronal loss, Estimate, 0.231, S.E, 0.068, p&lt;0.001); (Lewy bodies, Estimate, 0.291, S.E, 0.133, p=0.029)]. Employing a similar regression model which included both measures, neuronal loss remained associated with global parkinsonism(Neuronal loss, Estimate, 0.206, S.E, 0.075,p=0.006). By contrast, the association between Lewy bodies and global parkinsonism was attenuated by more than 60%and was no longer significant(Lewy bodies, Estimate, 0.112, S.E, 0.148, p=0.447), suggesting that neuronal loss may mediate the association of Lewy bodies with global parkinsonism.\n\nInterpretation\nNigral pathology is common in persons without PD and may contribute to loss of motor function in old age.","container-title":"Annals of Neurology","DOI":"10.1002/ana.22588","ISSN":"0364-5134","issue":"2","journalAbbreviation":"Ann Neurol","note":"PMID: 22367997\nPMCID: PMC3367476","page":"258-266","source":"PubMed Central","title":"Nigral Pathology and Parkinsonian Signs in Elders without Parkinson’s Disease","volume":"71","author":[{"family":"Buchman","given":"Aron S."},{"family":"Shulman","given":"Joshua M."},{"family":"Nag","given":"Sukriti"},{"family":"Leurgans","given":"Sue E."},{"family":"Arnold","given":"Steven E."},{"family":"Morris","given":"Martha C."},{"family":"Schneider","given":"Julie A."},{"family":"Bennett","given":"David A."}],"issued":{"date-parts":[["2012",2]]}}}],"schema":"https://github.com/citation-style-language/schema/raw/master/csl-citation.json"} </w:instrText>
      </w:r>
      <w:r w:rsidRPr="007F60D8">
        <w:fldChar w:fldCharType="separate"/>
      </w:r>
      <w:r w:rsidR="00FD5617" w:rsidRPr="00FD5617">
        <w:rPr>
          <w:rFonts w:cs="Times New Roman"/>
          <w:szCs w:val="24"/>
          <w:vertAlign w:val="superscript"/>
        </w:rPr>
        <w:t>3</w:t>
      </w:r>
      <w:r w:rsidRPr="007F60D8">
        <w:fldChar w:fldCharType="end"/>
      </w:r>
      <w:r w:rsidRPr="007F60D8">
        <w:t xml:space="preserve"> and </w:t>
      </w:r>
      <w:proofErr w:type="spellStart"/>
      <w:r w:rsidRPr="007F60D8">
        <w:t>transactive</w:t>
      </w:r>
      <w:proofErr w:type="spellEnd"/>
      <w:r w:rsidRPr="007F60D8">
        <w:t xml:space="preserve"> response DNA-binding protein 43 </w:t>
      </w:r>
      <w:proofErr w:type="spellStart"/>
      <w:r w:rsidRPr="007F60D8">
        <w:t>kDa</w:t>
      </w:r>
      <w:proofErr w:type="spellEnd"/>
      <w:r w:rsidRPr="007F60D8">
        <w:t xml:space="preserve"> (TDP-43) </w:t>
      </w:r>
      <w:proofErr w:type="spellStart"/>
      <w:r w:rsidRPr="007F60D8">
        <w:t>proteinopathy</w:t>
      </w:r>
      <w:proofErr w:type="spellEnd"/>
      <w:r w:rsidRPr="007F60D8">
        <w:t xml:space="preserve">. CAA was graded on a five-level scale (0 to 4) in four neocortical regions (mid-frontal, angular gyrus, inferior temporal gyrus, and </w:t>
      </w:r>
      <w:proofErr w:type="spellStart"/>
      <w:r w:rsidRPr="007F60D8">
        <w:t>calcarine</w:t>
      </w:r>
      <w:proofErr w:type="spellEnd"/>
      <w:r w:rsidRPr="007F60D8">
        <w:t xml:space="preserve"> cortex) and averaged to derive a CAA score, as previously described.</w:t>
      </w:r>
      <w:r w:rsidRPr="007F60D8">
        <w:fldChar w:fldCharType="begin"/>
      </w:r>
      <w:r w:rsidR="00FD5617">
        <w:instrText xml:space="preserve"> ADDIN ZOTERO_ITEM CSL_CITATION {"citationID":"N3UjrOn5","properties":{"formattedCitation":"\\super 4\\nosupersub{}","plainCitation":"4","noteIndex":0},"citationItems":[{"id":4813,"uris":["http://zotero.org/users/687843/items/U3GHAAHQ"],"uri":["http://zotero.org/users/687843/items/U3GHAAHQ"],"itemData":{"id":4813,"type":"article-journal","abstract":"Objective:\nWe tested the hypothesis that cerebral amyloid angiopathy (CAA) is related to Alzheimer disease (AD) dementia and decline in multiple cognitive systems in old age, independent of AD plaque and tangle pathology and other common age-related neuropathologies.\n\nMethods:\nParticipants (n = 1,113) came from 2 longitudinal clinical-pathologic studies of aging, the Rush Memory and Aging Project and the Religious Orders Study. All underwent annual clinical evaluations including detailed cognitive testing for a mean of 7.1 years before death. Clinical diagnoses of AD were established after reviewing all clinical data, blinded to neuropathologic information. Neuropathologic examinations provided measures of CAA, AD pathology, macroscopic infarcts, microinfarcts, and neocortical Lewy bodies. The association of CAA with AD dementia was examined using logistic regression models, and its association with cognitive decline was examined using linear mixed models.\n\nResults:\nCAA was common, present in 78.9% of participants, and moderately related to AD pathology (ρ = 0.401, p &lt; 0.0001). In analyses adjusted for plaques, tangles, and other common age-related neuropathologies, CAA was associated with an increased odds of AD dementia (odds ratio = 1.237, 95% confidence interval 1.082–1.414) and an increased rate of decline in global cognition, perceptual speed, episodic memory, and semantic memory. The associations of CAA with cognitive outcomes were not driven by the presence of capillary involvement.\n\nConclusions:\nCAA is an important determinant of AD dementia and decline in multiple cognitive systems in old age.","container-title":"Neurology","DOI":"10.1212/WNL.0000000000002175","ISSN":"0028-3878","issue":"22","journalAbbreviation":"Neurology","note":"PMID: 26537052\nPMCID: PMC4664125","page":"1930-1936","source":"PubMed Central","title":"Cerebral amyloid angiopathy and cognitive outcomes in community-based older persons","volume":"85","author":[{"family":"Boyle","given":"Patricia A."},{"family":"Yu","given":"Lei"},{"family":"Nag","given":"Sukriti"},{"family":"Leurgans","given":"Sue"},{"family":"Wilson","given":"Robert S."},{"family":"Bennett","given":"David A."},{"family":"Schneider","given":"Julie A."}],"issued":{"date-parts":[["2015",12,1]]}}}],"schema":"https://github.com/citation-style-language/schema/raw/master/csl-citation.json"} </w:instrText>
      </w:r>
      <w:r w:rsidRPr="007F60D8">
        <w:fldChar w:fldCharType="separate"/>
      </w:r>
      <w:r w:rsidR="00FD5617" w:rsidRPr="00FD5617">
        <w:rPr>
          <w:rFonts w:cs="Times New Roman"/>
          <w:szCs w:val="24"/>
          <w:vertAlign w:val="superscript"/>
        </w:rPr>
        <w:t>4</w:t>
      </w:r>
      <w:r w:rsidRPr="007F60D8">
        <w:fldChar w:fldCharType="end"/>
      </w:r>
      <w:r w:rsidRPr="007F60D8">
        <w:t xml:space="preserve"> Chronic macroscopic and microscopic infarcts were each dichotomized as present or absent. Atherosclerosis was scored on a four-level severity scale, and arteriolosclerosis was measured on a four-level scale by small vessel pathologies in anterior basal ganglia.</w:t>
      </w:r>
      <w:r w:rsidRPr="007F60D8">
        <w:fldChar w:fldCharType="begin"/>
      </w:r>
      <w:r w:rsidR="00FD5617">
        <w:instrText xml:space="preserve"> ADDIN ZOTERO_ITEM CSL_CITATION {"citationID":"a550dtu8uo","properties":{"formattedCitation":"\\super 5\\nosupersub{}","plainCitation":"5","noteIndex":0},"citationItems":[{"id":901,"uris":["http://zotero.org/users/687843/items/XSAA9EWA"],"uri":["http://zotero.org/users/687843/items/XSAA9EWA"],"itemData":{"id":901,"type":"article-journal","abstract":"OBJECTIVE: To use neuropathologic data to examine the association between APOE genotype and cerebrovascular lesions commonly found in Alzheimer disease (AD), as well as neuritic senile plaque (SP) and neurofibrillary tangle (NFT) burden.\nMETHODS: The sample comprised brains from 96 men and 3 women who fulfilled NIA-Reagan criteria for intermediate to high likelihood of AD. Region-specific and global measures of gross cerebrovascular disease, arteriolosclerosis, white matter lesions, microinfarcts, amyloid angiopathy, neuritic SP, and NFT burden were compared among those who had at least one APOE-epsilon4 vs those who did not. Pairwise rank-order correlations between measures were calculated. The association between APOE epsilon4 status and measures of vascular and AD pathology, adjusting for age at death, sex, brain weight, and Braak stage, were evaluated.\nRESULTS: APOE-epsilon4 was not associated with gross cerebrovascular pathology. Compared to those who were negative, brains from epsilon4 individuals had a greater degree of small vessel arteriolosclerosis (p = 0.04) and perivascular macrophage infiltration (p = 0.06), but not other markers of small vessel disease or white matter myelin loss. Microinfarcts in the deep nuclei were associated with epsilon4 (p = 0.009), whereas cortical and subcortical microinfarcts were not. There was a trend toward association between APOE genotype and amyloid angiopathy (p = 0.08), and epsilon4 was associated with neuritic SP burden, but not NFT.\nCONCLUSION: APOE-epsilon4 is associated with small vessel arteriolosclerosis, microinfarcts of the deep nuclei, neuritic senile plaque density, and amyloid angiopathy in patients with autopsy-proven Alzheimer disease (AD). These results suggest a role for epsilon4 in some of the microvascular changes commonly found in AD and are consistent with a potential amyloidogenic role for epsilon4.","container-title":"Neurology","DOI":"10.1212/01.wnl.0000168863.49053.4d","ISSN":"1526-632X","issue":"2","journalAbbreviation":"Neurology","language":"eng","note":"PMID: 16043796","page":"259-265","source":"PubMed","title":"APOE, vascular pathology, and the AD brain","volume":"65","author":[{"family":"Yip","given":"A. G."},{"family":"McKee","given":"A. C."},{"family":"Green","given":"R. C."},{"family":"Wells","given":"J."},{"family":"Young","given":"H."},{"family":"Cupples","given":"L. A."},{"family":"Farrer","given":"L. A."}],"issued":{"date-parts":[["2005",7,26]]}}}],"schema":"https://github.com/citation-style-language/schema/raw/master/csl-citation.json"} </w:instrText>
      </w:r>
      <w:r w:rsidRPr="007F60D8">
        <w:fldChar w:fldCharType="separate"/>
      </w:r>
      <w:r w:rsidR="00FD5617" w:rsidRPr="00FD5617">
        <w:rPr>
          <w:rFonts w:cs="Times New Roman"/>
          <w:szCs w:val="24"/>
          <w:vertAlign w:val="superscript"/>
        </w:rPr>
        <w:t>5</w:t>
      </w:r>
      <w:r w:rsidRPr="007F60D8">
        <w:fldChar w:fldCharType="end"/>
      </w:r>
      <w:r w:rsidRPr="007F60D8">
        <w:t xml:space="preserve"> </w:t>
      </w:r>
      <w:proofErr w:type="spellStart"/>
      <w:r w:rsidRPr="007F60D8">
        <w:t>Nigral</w:t>
      </w:r>
      <w:proofErr w:type="spellEnd"/>
      <w:r w:rsidRPr="007F60D8">
        <w:t xml:space="preserve">, limbic, and neocortical </w:t>
      </w:r>
      <w:proofErr w:type="spellStart"/>
      <w:r w:rsidRPr="007F60D8">
        <w:t>Lewy</w:t>
      </w:r>
      <w:proofErr w:type="spellEnd"/>
      <w:r w:rsidRPr="007F60D8">
        <w:t xml:space="preserve"> bodies were dichotomized as present or absent, as identified using immunohistochemistry. Hippocampal sclerosis was recorded as either present or absent as evaluated with H&amp;E stain. Pathological diagnosis of AD was given for cases with high or intermediate likelihood of AD per the modified National Institute of Aging–Reagan Institute criteria.</w:t>
      </w:r>
      <w:r w:rsidRPr="007F60D8">
        <w:fldChar w:fldCharType="begin"/>
      </w:r>
      <w:r w:rsidR="00FD5617">
        <w:instrText xml:space="preserve"> ADDIN ZOTERO_ITEM CSL_CITATION {"citationID":"a2908tugn9o","properties":{"formattedCitation":"\\super 6\\nosupersub{}","plainCitation":"6","noteIndex":0},"citationItems":[{"id":4796,"uris":["http://zotero.org/users/687843/items/I29GKSF2"],"uri":["http://zotero.org/users/687843/items/I29GKSF2"],"itemData":{"id":4796,"type":"article-journal","abstract":"OBJECTIVE: To examine the relation of National Institute on Aging-Reagan (NIA-Reagan) neuropathologic criteria of Alzheimer disease (AD) to level of cognitive function in persons without dementia or mild cognitive impairment (MCI).\nMETHODS: More than 2,000 persons without dementia participating in the Religious Orders Study or the Memory and Aging Project agreed to annual detailed clinical evaluation and brain donation. The studies had 19 neuropsychological performance tests in common that assessed five cognitive domains, including episodic memory, semantic memory, working memory, perceptual speed, and visuospatial ability. A total of 134 persons without cognitive impairment died and underwent brain autopsy and postmortem assessment for AD pathology using NIA-Reagan neuropathologic criteria for AD, cerebral infarctions, and Lewy bodies. Linear regression was used to examine the relation of AD pathology to level of cognitive function proximate to death.\nRESULTS: Two (1.5%) persons met NIA-Reagan criteria for high likelihood AD, and 48 (35.8%) met criteria for intermediate likelihood; 29 (21.6%) had cerebral infarctions, and 18 (13.4%) had Lewy bodies. The mean Mini-Mental State Examination score proximate to death was 28.2 for those meeting high or intermediate likelihood AD by NIA-Reagan criteria and 28.4 for those not meeting criteria. In linear regression models adjusted for age, sex, and education, persons meeting criteria for intermediate or high likelihood AD scored about a quarter standard unit lower on tests of episodic memory (p = 0.01). There were no significant differences in any other cognitive domain.\nCONCLUSIONS: Alzheimer disease pathology can be found in the brains of older persons without dementia or mild cognitive impairment and is related to subtle changes in episodic memory.","container-title":"Neurology","DOI":"10.1212/01.wnl.0000219668.47116.e6","ISSN":"1526-632X","issue":"12","journalAbbreviation":"Neurology","language":"eng","note":"PMID: 16801647","page":"1837-1844","source":"PubMed","title":"Neuropathology of older persons without cognitive impairment from two community-based studies","volume":"66","author":[{"family":"Bennett","given":"D. A."},{"family":"Schneider","given":"J. A."},{"family":"Arvanitakis","given":"Z."},{"family":"Kelly","given":"J. F."},{"family":"Aggarwal","given":"N. T."},{"family":"Shah","given":"R. C."},{"family":"Wilson","given":"R. S."}],"issued":{"date-parts":[["2006",6,27]]}}}],"schema":"https://github.com/citation-style-language/schema/raw/master/csl-citation.json"} </w:instrText>
      </w:r>
      <w:r w:rsidRPr="007F60D8">
        <w:fldChar w:fldCharType="separate"/>
      </w:r>
      <w:r w:rsidRPr="007F60D8">
        <w:rPr>
          <w:vertAlign w:val="superscript"/>
        </w:rPr>
        <w:t>6</w:t>
      </w:r>
      <w:r w:rsidRPr="007F60D8">
        <w:fldChar w:fldCharType="end"/>
      </w:r>
      <w:r w:rsidRPr="007F60D8">
        <w:t xml:space="preserve"> For a subset of participants (</w:t>
      </w:r>
      <w:r w:rsidRPr="007F60D8">
        <w:rPr>
          <w:i/>
          <w:iCs/>
        </w:rPr>
        <w:t>n =</w:t>
      </w:r>
      <w:r w:rsidRPr="007F60D8">
        <w:t xml:space="preserve"> 826), </w:t>
      </w:r>
      <w:proofErr w:type="spellStart"/>
      <w:r w:rsidRPr="007F60D8">
        <w:t>transactive</w:t>
      </w:r>
      <w:proofErr w:type="spellEnd"/>
      <w:r w:rsidRPr="007F60D8">
        <w:t xml:space="preserve"> response DNA-binding protein 43 </w:t>
      </w:r>
      <w:proofErr w:type="spellStart"/>
      <w:r w:rsidRPr="007F60D8">
        <w:t>kDa</w:t>
      </w:r>
      <w:proofErr w:type="spellEnd"/>
      <w:r w:rsidRPr="007F60D8">
        <w:t xml:space="preserve"> (TDP-43) </w:t>
      </w:r>
      <w:proofErr w:type="spellStart"/>
      <w:r w:rsidRPr="007F60D8">
        <w:t>proteinopathy</w:t>
      </w:r>
      <w:proofErr w:type="spellEnd"/>
      <w:r w:rsidRPr="007F60D8">
        <w:t xml:space="preserve"> was measured and categorized into four steps of severity as previously described:</w:t>
      </w:r>
      <w:r w:rsidRPr="007F60D8">
        <w:fldChar w:fldCharType="begin"/>
      </w:r>
      <w:r w:rsidR="00FD5617">
        <w:instrText xml:space="preserve"> ADDIN ZOTERO_ITEM CSL_CITATION {"citationID":"a2lisot4r4v","properties":{"formattedCitation":"\\super 7\\nosupersub{}","plainCitation":"7","noteIndex":0},"citationItems":[{"id":4816,"uris":["http://zotero.org/users/687843/items/E3R2JENZ"],"uri":["http://zotero.org/users/687843/items/E3R2JENZ"],"itemData":{"id":4816,"type":"article-journal","abstract":"Objective:\nTo determine the independent association of the TMEM106B variants with transactive response DNA binding protein 43 (TDP-43) pathology in older persons without frontotemporal lobar degeneration (FTLD) and to explore functional pathways that link the risk variants to the pathology, including a GRN mRNA pathway.\n\nMethods:\nData came from 544 autopsied participants without FTLD in 2 community-based studies of aging. Participants underwent uniform neuropathologic evaluations, including TDP-43 cytoplasmic inclusions. We examined the association of TMEM106B variants with a semiquantitative measure of TDP-43 pathology in a series of regression analysis. We explored potential pathways by leveraging genetic, brain DNA methylation, miRNA, and transcriptomic data collected from this same group of participants.\n\nResults:\nTDP-43 pathology was identified in 51.7% of the participants. The index single-nucleotide polymorphism (SNP), rs1990622A, was associated with more advanced TDP-43 pathology. Top hits from fine mapping of the locus were in linkage disequilibrium of the index SNP. The association remained significant after adjustment for other neuropathologies including Alzheimer disease and hippocampal sclerosis (odds ratio = 1.351, 95% confidence interval = 1.068–1.709, p = 0.012). GRN expression was upregulated in rs1990622AA/AG carriers, and was associated with more advanced TDP-43 pathology. The TMEM106B variants were associated with lower level of DNA methylation in an active enhancer in GRN.\n\nConclusions:\nCommon variants in TMEM106B serve as a distinct risk factor for TDP-43 pathology in older persons without FTLD. The role of GRN expression and epigenetic mechanisms associating TMEM106B in the accumulation of TDP-43 in older persons require further study.","container-title":"Neurology","DOI":"10.1212/WNL.0000000000001313","ISSN":"0028-3878","issue":"9","journalAbbreviation":"Neurology","note":"PMID: 25653292\nPMCID: PMC4351662","page":"927-934","source":"PubMed Central","title":"The TMEM106B locus and TDP-43 pathology in older persons without FTLD","volume":"84","author":[{"family":"Yu","given":"Lei"},{"family":"De Jager","given":"Philip L."},{"family":"Yang","given":"Jingyun"},{"family":"Trojanowski","given":"John Q."},{"family":"Bennett","given":"David A."},{"family":"Schneider","given":"Julie A."}],"issued":{"date-parts":[["2015",3,3]]}}}],"schema":"https://github.com/citation-style-language/schema/raw/master/csl-citation.json"} </w:instrText>
      </w:r>
      <w:r w:rsidRPr="007F60D8">
        <w:fldChar w:fldCharType="separate"/>
      </w:r>
      <w:r w:rsidR="00FD5617" w:rsidRPr="00FD5617">
        <w:rPr>
          <w:rFonts w:cs="Times New Roman"/>
          <w:szCs w:val="24"/>
          <w:vertAlign w:val="superscript"/>
        </w:rPr>
        <w:t>7</w:t>
      </w:r>
      <w:r w:rsidRPr="007F60D8">
        <w:fldChar w:fldCharType="end"/>
      </w:r>
      <w:r w:rsidRPr="007F60D8">
        <w:t xml:space="preserve"> no inclusions (stage 0), inclusions in amygdala only (stage I), inclusions in amygdala as well as entorhinal cortex and/or hippocampus CA1 (stage II), and inclusions in amygdala, neocortex, and entorhinal cortex and/or hippocampus CA1 (stage III). In addition, a semi-quantitative six-point scale for the severity of the TDP-43 cytoplasmic inclusions was rated as previously described (</w:t>
      </w:r>
      <w:r w:rsidRPr="007F60D8">
        <w:rPr>
          <w:i/>
          <w:iCs/>
        </w:rPr>
        <w:t>n</w:t>
      </w:r>
      <w:r w:rsidRPr="007F60D8">
        <w:t>=812).</w:t>
      </w:r>
      <w:r w:rsidRPr="007F60D8">
        <w:fldChar w:fldCharType="begin"/>
      </w:r>
      <w:r w:rsidR="00FD5617">
        <w:instrText xml:space="preserve"> ADDIN ZOTERO_ITEM CSL_CITATION {"citationID":"a12tk5bkvhm","properties":{"formattedCitation":"\\super 8\\nosupersub{}","plainCitation":"8","noteIndex":0},"citationItems":[{"id":4819,"uris":["http://zotero.org/users/687843/items/XTKUPFP7"],"uri":["http://zotero.org/users/687843/items/XTKUPFP7"],"itemData":{"id":4819,"type":"article-journal","abstract":"&lt;h3&gt;Importance&lt;/h3&gt;&lt;p&gt;Cognitive decline is a leading cause of disability and death in old age but its neurobiological bases are not well understood.&lt;/p&gt;&lt;h3&gt;Objective&lt;/h3&gt;&lt;p&gt;To test the hypothesis that transactive response DNA-binding protein 43 (TDP-43) is related to late-life cognitive decline.&lt;/p&gt;&lt;h3&gt;Design, Setting, and Participants&lt;/h3&gt;&lt;p&gt;Longitudinal clinical-pathologic cohort study involving more than 40 Catholic groups across the United States. A total of 130 older Catholic nuns, priests, and monks underwent annual clinical evaluations, including detailed cognitive testing, for a mean of 10.1 years prior to death. On neuropathologic examination, we collected semiquantitative measures of TDP-43 pathology, density of neuronal neurofibrillary tangles, area occupied by amyloid-beta plaques, and the presence of alpha-synuclein Lewy bodies from multiple brain regions. Gross and microscopic cerebral infarcts and hippocampal sclerosis were also identified.&lt;/p&gt;&lt;h3&gt;Main Outcomes and Measures&lt;/h3&gt;&lt;p&gt;Annual rate of change in a previously established composite measure of global cognition during a mean of 10.1 years of annual observation before death.&lt;/p&gt;&lt;h3&gt;Results&lt;/h3&gt;&lt;p&gt;Transactive response DNA-binding protein 43 pathology, ranging from sparse to severe, was identified in 46% of participants and was associated with amyloid plaques, tangles, and hippocampal sclerosis but not neocortical Lewy bodies or cerebral infarcts. After controlling for amyloid plaques, tangles, and hippocampal sclerosis, TDP-43 pathology was associated with more rapid cognitive decline and accounted for nearly as much of the variability in rates of global cognitive decline as did tangles. Transactive response DNA-binding protein 43 pathology had a distinct cognitive profile that differed from other neuropathologic processes (related to decline in episodic and working memory but not in other cognitive domains), and it was elevated in those who developed dementia but not in those with mild cognitive impairment.&lt;/p&gt;&lt;h3&gt;Conclusion and Relevance&lt;/h3&gt;&lt;p&gt;The results suggest that TDP-43 is an important brain pathology underlying cognitive decline and dementia in old age.&lt;/p&gt;","container-title":"JAMA Neurology","DOI":"10.1001/jamaneurol.2013.3961","ISSN":"2168-6149","issue":"11","journalAbbreviation":"JAMA Neurol","language":"en","page":"1418-1424","source":"jamanetwork.com","title":"TDP-43 Pathology, Cognitive Decline, and Dementia in Old Age","volume":"70","author":[{"family":"Wilson","given":"Robert S."},{"family":"Yu","given":"Lei"},{"family":"Trojanowski","given":"John Q."},{"family":"Chen","given":"Er-Yun"},{"family":"Boyle","given":"Patricia A."},{"family":"Bennett","given":"David A."},{"family":"Schneider","given":"Julie A."}],"issued":{"date-parts":[["2013",11,1]]}}}],"schema":"https://github.com/citation-style-language/schema/raw/master/csl-citation.json"} </w:instrText>
      </w:r>
      <w:r w:rsidRPr="007F60D8">
        <w:fldChar w:fldCharType="separate"/>
      </w:r>
      <w:r w:rsidR="00FD5617" w:rsidRPr="00FD5617">
        <w:rPr>
          <w:rFonts w:cs="Times New Roman"/>
          <w:szCs w:val="24"/>
          <w:vertAlign w:val="superscript"/>
        </w:rPr>
        <w:t>8</w:t>
      </w:r>
      <w:r w:rsidRPr="007F60D8">
        <w:fldChar w:fldCharType="end"/>
      </w:r>
    </w:p>
    <w:p w:rsidR="007F60D8" w:rsidRPr="007F60D8" w:rsidRDefault="007F60D8" w:rsidP="007F60D8">
      <w:pPr>
        <w:pStyle w:val="NoSpacing"/>
      </w:pPr>
    </w:p>
    <w:p w:rsidR="007F60D8" w:rsidRPr="007F60D8" w:rsidRDefault="007F60D8" w:rsidP="007F60D8">
      <w:pPr>
        <w:pStyle w:val="NoSpacing"/>
      </w:pPr>
      <w:r w:rsidRPr="007F60D8">
        <w:t xml:space="preserve">Immunohistochemistry for microglia was performed using an Automated Leica Bond </w:t>
      </w:r>
      <w:proofErr w:type="spellStart"/>
      <w:r w:rsidRPr="007F60D8">
        <w:t>immunostainer</w:t>
      </w:r>
      <w:proofErr w:type="spellEnd"/>
      <w:r w:rsidRPr="007F60D8">
        <w:t xml:space="preserve"> (Leica Microsystems Inc., </w:t>
      </w:r>
      <w:proofErr w:type="spellStart"/>
      <w:r w:rsidRPr="007F60D8">
        <w:t>Bannockborn</w:t>
      </w:r>
      <w:proofErr w:type="spellEnd"/>
      <w:r w:rsidRPr="007F60D8">
        <w:t xml:space="preserve"> IL) and anti-human HLA-DP, DQ, DR antibodies (clone CR3/43; </w:t>
      </w:r>
      <w:proofErr w:type="spellStart"/>
      <w:r w:rsidRPr="007F60D8">
        <w:t>DakoCytomation</w:t>
      </w:r>
      <w:proofErr w:type="spellEnd"/>
      <w:r w:rsidRPr="007F60D8">
        <w:t xml:space="preserve">, </w:t>
      </w:r>
      <w:proofErr w:type="spellStart"/>
      <w:r w:rsidRPr="007F60D8">
        <w:t>Carpinteria</w:t>
      </w:r>
      <w:proofErr w:type="spellEnd"/>
      <w:r w:rsidRPr="007F60D8">
        <w:t xml:space="preserve"> CA; 1:100 </w:t>
      </w:r>
      <w:proofErr w:type="gramStart"/>
      <w:r w:rsidRPr="007F60D8">
        <w:t>dilution</w:t>
      </w:r>
      <w:proofErr w:type="gramEnd"/>
      <w:r w:rsidRPr="007F60D8">
        <w:t xml:space="preserve">; catalog number MA1-25914) using standard Bond epitope retrieval and detection. An investigator blinded to the clinical and pathologic data, outlined the cortical or subcortical gray region of interest on each slide using a </w:t>
      </w:r>
      <w:proofErr w:type="spellStart"/>
      <w:r w:rsidRPr="007F60D8">
        <w:t>Microbrightfield</w:t>
      </w:r>
      <w:proofErr w:type="spellEnd"/>
      <w:r w:rsidRPr="007F60D8">
        <w:t xml:space="preserve"> Stereology System. The Stereo </w:t>
      </w:r>
      <w:r w:rsidRPr="007F60D8">
        <w:lastRenderedPageBreak/>
        <w:t xml:space="preserve">Investigator 8.0 software program was used to place a 1000 × 750μm sampling grid over the region and the program was engaged to sample 4.0% of the region with a 200 × 150μm counting frame at 400x magnification at interval grid intersection points. Using separate tags for stage I, II and III microglia, the operator marked the microglia at each intersection point. These counts were then </w:t>
      </w:r>
      <w:proofErr w:type="spellStart"/>
      <w:r w:rsidRPr="007F60D8">
        <w:t>upweighted</w:t>
      </w:r>
      <w:proofErr w:type="spellEnd"/>
      <w:r w:rsidRPr="007F60D8">
        <w:t xml:space="preserve"> by the stereology software to estimate total number of microglia (stage I, II, and III) in the defined area. Different stages of activation from least (stage I) to most (stage III) activated can be defined morphologically; when these cells become activated, their long fine processes contract and thicken and the cell body adopts a larger more rounded cellular conformation. Data from the two adjacent blocks of tissue (0.5 to 1.0 cm apart) were averaged to obtain composite average densities of microglia in each region. </w:t>
      </w:r>
    </w:p>
    <w:p w:rsidR="007F60D8" w:rsidRDefault="007F60D8" w:rsidP="007F60D8">
      <w:pPr>
        <w:pStyle w:val="NoSpacing"/>
      </w:pPr>
    </w:p>
    <w:p w:rsidR="007F60D8" w:rsidRDefault="007F60D8" w:rsidP="007F60D8">
      <w:pPr>
        <w:pStyle w:val="NoSpacing"/>
      </w:pPr>
    </w:p>
    <w:p w:rsidR="00DD7A28" w:rsidRPr="001A78FC" w:rsidRDefault="00DD7A28" w:rsidP="00DD7A28">
      <w:pPr>
        <w:pStyle w:val="Heading2"/>
        <w:rPr>
          <w:rFonts w:eastAsia="Times New Roman"/>
        </w:rPr>
      </w:pPr>
      <w:bookmarkStart w:id="3" w:name="_Toc86156118"/>
      <w:r w:rsidRPr="001A78FC">
        <w:rPr>
          <w:rFonts w:eastAsia="Times New Roman"/>
        </w:rPr>
        <w:t>Isolation of Peripheral blood monocytes</w:t>
      </w:r>
      <w:bookmarkEnd w:id="3"/>
    </w:p>
    <w:p w:rsidR="00DD7A28" w:rsidRDefault="00DD7A28" w:rsidP="00DD7A28">
      <w:pPr>
        <w:pStyle w:val="NoSpacing"/>
      </w:pPr>
      <w:r w:rsidRPr="001A78FC">
        <w:t>After thawing, PBMCs were washed in 10ml PBS (</w:t>
      </w:r>
      <w:proofErr w:type="spellStart"/>
      <w:r w:rsidRPr="001A78FC">
        <w:t>Lonza</w:t>
      </w:r>
      <w:proofErr w:type="spellEnd"/>
      <w:r w:rsidRPr="001A78FC">
        <w:t xml:space="preserve">, 17-516F) and CD14+CD16- monocytes were isolated using the </w:t>
      </w:r>
      <w:proofErr w:type="spellStart"/>
      <w:r w:rsidRPr="001A78FC">
        <w:t>EasySep</w:t>
      </w:r>
      <w:proofErr w:type="spellEnd"/>
      <w:r w:rsidRPr="001A78FC">
        <w:t xml:space="preserve"> Human Monocyte Isolation Kit (Negative selection kit, </w:t>
      </w:r>
      <w:proofErr w:type="spellStart"/>
      <w:r w:rsidRPr="001A78FC">
        <w:t>Stemcell</w:t>
      </w:r>
      <w:proofErr w:type="spellEnd"/>
      <w:r w:rsidRPr="001A78FC">
        <w:t xml:space="preserve"> Technologies, 19359) according to manufacturer's instructions. The monocyte suspension was spun down and incubated with anti-CD14 AlexaFluor488 (</w:t>
      </w:r>
      <w:proofErr w:type="spellStart"/>
      <w:r w:rsidRPr="001A78FC">
        <w:t>Biolegend</w:t>
      </w:r>
      <w:proofErr w:type="spellEnd"/>
      <w:r w:rsidRPr="001A78FC">
        <w:t>, 301804, clone M5E2) and anti-CD16 APC (</w:t>
      </w:r>
      <w:proofErr w:type="spellStart"/>
      <w:r w:rsidRPr="001A78FC">
        <w:t>Biolegend</w:t>
      </w:r>
      <w:proofErr w:type="spellEnd"/>
      <w:r w:rsidRPr="001A78FC">
        <w:t>, 302012, clone 3G8) antibodies as well as Live Dead Fixable Aqua Dead cell stain (Invitrogen, L34957) for 20 min on ice. Subsequently the cell suspensions were washed twice with staining buffer (PBS containing 1% FBS (</w:t>
      </w:r>
      <w:proofErr w:type="spellStart"/>
      <w:r w:rsidRPr="001A78FC">
        <w:t>Gibco</w:t>
      </w:r>
      <w:proofErr w:type="spellEnd"/>
      <w:r w:rsidRPr="001A78FC">
        <w:t>, 10438026)), filtered through a 70 </w:t>
      </w:r>
      <w:proofErr w:type="spellStart"/>
      <w:r w:rsidRPr="001A78FC">
        <w:t>μm</w:t>
      </w:r>
      <w:proofErr w:type="spellEnd"/>
      <w:r w:rsidRPr="001A78FC">
        <w:t xml:space="preserve"> filter and the Live (BV510-) CD14+/CD16-cells were sorted on a BD Influx cell sorter. 2000 cells were sorted per well in a 96 well PCR plate (Eppendorf, 951020401) containing 10 </w:t>
      </w:r>
      <w:proofErr w:type="spellStart"/>
      <w:r w:rsidRPr="001A78FC">
        <w:t>μl</w:t>
      </w:r>
      <w:proofErr w:type="spellEnd"/>
      <w:r w:rsidRPr="001A78FC">
        <w:t xml:space="preserve"> of TCL buffer (</w:t>
      </w:r>
      <w:proofErr w:type="spellStart"/>
      <w:r w:rsidRPr="001A78FC">
        <w:t>Qiagen</w:t>
      </w:r>
      <w:proofErr w:type="spellEnd"/>
      <w:r w:rsidRPr="001A78FC">
        <w:t>, 1031576) with 1% β-</w:t>
      </w:r>
      <w:proofErr w:type="spellStart"/>
      <w:r w:rsidRPr="001A78FC">
        <w:t>mercaptoethanol</w:t>
      </w:r>
      <w:proofErr w:type="spellEnd"/>
      <w:r w:rsidRPr="001A78FC">
        <w:t xml:space="preserve"> (Sigma, M3148). Following FACS the lysate was vigorously vortexed for 30 s, spun down, snap frozen on dry ice and stored at −80 °C until further processing.</w:t>
      </w:r>
    </w:p>
    <w:p w:rsidR="007F60D8" w:rsidRDefault="007F60D8" w:rsidP="007F60D8">
      <w:pPr>
        <w:pStyle w:val="NoSpacing"/>
      </w:pPr>
    </w:p>
    <w:p w:rsidR="007F60D8" w:rsidRDefault="007F60D8" w:rsidP="007F60D8">
      <w:pPr>
        <w:pStyle w:val="NoSpacing"/>
      </w:pPr>
    </w:p>
    <w:p w:rsidR="0086605B" w:rsidRPr="001A78FC" w:rsidRDefault="004C2C79" w:rsidP="004C2C79">
      <w:pPr>
        <w:pStyle w:val="Heading2"/>
        <w:rPr>
          <w:rFonts w:eastAsia="Times New Roman"/>
        </w:rPr>
      </w:pPr>
      <w:bookmarkStart w:id="4" w:name="_Toc86156119"/>
      <w:r w:rsidRPr="001A78FC">
        <w:rPr>
          <w:rFonts w:eastAsia="Times New Roman"/>
        </w:rPr>
        <w:t xml:space="preserve">Sequencing of RNA from </w:t>
      </w:r>
      <w:r w:rsidR="0086605B" w:rsidRPr="001A78FC">
        <w:rPr>
          <w:rFonts w:eastAsia="Times New Roman"/>
        </w:rPr>
        <w:t>Monocytes</w:t>
      </w:r>
      <w:bookmarkEnd w:id="4"/>
    </w:p>
    <w:p w:rsidR="0086605B" w:rsidRDefault="0086605B" w:rsidP="0086605B">
      <w:pPr>
        <w:pStyle w:val="NoSpacing"/>
      </w:pPr>
      <w:r w:rsidRPr="001A78FC">
        <w:t xml:space="preserve">cDNA was prepared from 20-2000 FACS-sorted cells stored at -80°C and thawed to lyse. RNA was purified using a bead-based clean-up immediately followed by priming, reverse transcription with template switching using </w:t>
      </w:r>
      <w:proofErr w:type="spellStart"/>
      <w:r w:rsidRPr="001A78FC">
        <w:t>Thermo</w:t>
      </w:r>
      <w:proofErr w:type="spellEnd"/>
      <w:r w:rsidRPr="001A78FC">
        <w:t xml:space="preserve"> Scientific Maxima H Minus Reverse Transcriptase and Invitrogen </w:t>
      </w:r>
      <w:proofErr w:type="spellStart"/>
      <w:r w:rsidRPr="001A78FC">
        <w:t>Superase</w:t>
      </w:r>
      <w:proofErr w:type="spellEnd"/>
      <w:r w:rsidRPr="001A78FC">
        <w:t xml:space="preserve">-In RNase Inhibitor, and enrichment with 18-22 cycles of PCR amplification. cDNA was evaluated using fluorescent-based assays including </w:t>
      </w:r>
      <w:proofErr w:type="spellStart"/>
      <w:r w:rsidRPr="001A78FC">
        <w:t>PicoGreen</w:t>
      </w:r>
      <w:proofErr w:type="spellEnd"/>
      <w:r w:rsidRPr="001A78FC">
        <w:t xml:space="preserve"> (Life Technologies), Qubit </w:t>
      </w:r>
      <w:proofErr w:type="spellStart"/>
      <w:r w:rsidRPr="001A78FC">
        <w:t>Fluorometer</w:t>
      </w:r>
      <w:proofErr w:type="spellEnd"/>
      <w:r w:rsidRPr="001A78FC">
        <w:t xml:space="preserve"> (Invitrogen), and Fragment Analyzer (Advanced Analytics). Final RNA libraries were prepared using the </w:t>
      </w:r>
      <w:proofErr w:type="spellStart"/>
      <w:r w:rsidRPr="001A78FC">
        <w:t>Nextera</w:t>
      </w:r>
      <w:proofErr w:type="spellEnd"/>
      <w:r w:rsidRPr="001A78FC">
        <w:t xml:space="preserve"> XT DNA Library Prep kit in accordance with the manufacturer’s instructions. Briefly, 1 ng of amplified cDNA underwent </w:t>
      </w:r>
      <w:proofErr w:type="spellStart"/>
      <w:r w:rsidRPr="001A78FC">
        <w:t>tagmentation</w:t>
      </w:r>
      <w:proofErr w:type="spellEnd"/>
      <w:r w:rsidRPr="001A78FC">
        <w:t xml:space="preserve"> to fragment and tag cDNA with adapter sequences. </w:t>
      </w:r>
      <w:proofErr w:type="spellStart"/>
      <w:r w:rsidRPr="001A78FC">
        <w:t>Tagmented</w:t>
      </w:r>
      <w:proofErr w:type="spellEnd"/>
      <w:r w:rsidRPr="001A78FC">
        <w:t xml:space="preserve"> cDNA was then ligated with Illumina </w:t>
      </w:r>
      <w:proofErr w:type="spellStart"/>
      <w:r w:rsidRPr="001A78FC">
        <w:t>Nextera</w:t>
      </w:r>
      <w:proofErr w:type="spellEnd"/>
      <w:r w:rsidRPr="001A78FC">
        <w:t xml:space="preserve"> dual indices and enriched using 12 cycles of PCR amplification. Final libraries were evaluated using </w:t>
      </w:r>
      <w:proofErr w:type="spellStart"/>
      <w:r w:rsidRPr="001A78FC">
        <w:t>Picogreen</w:t>
      </w:r>
      <w:proofErr w:type="spellEnd"/>
      <w:r w:rsidRPr="001A78FC">
        <w:t xml:space="preserve"> (Life Technologies) and Fragment Analyzer (Advanced Analytics). For samples in the batch 1 and 2, libraries were pooled and sequenced on a </w:t>
      </w:r>
      <w:proofErr w:type="spellStart"/>
      <w:r w:rsidRPr="001A78FC">
        <w:t>HiSeq</w:t>
      </w:r>
      <w:proofErr w:type="spellEnd"/>
      <w:r w:rsidRPr="001A78FC">
        <w:t xml:space="preserve"> 2500 (Illumina) using 2 x 101bp (Batch 1) and 2 x 76bp cycles (Batch 2). For samples in the batch 3, libraries were pooled and sequenced on a </w:t>
      </w:r>
      <w:proofErr w:type="spellStart"/>
      <w:r w:rsidRPr="001A78FC">
        <w:t>NovaSeq</w:t>
      </w:r>
      <w:proofErr w:type="spellEnd"/>
      <w:r w:rsidRPr="001A78FC">
        <w:t xml:space="preserve"> 6000 (Illumina) using 2 x 50bp cycles.</w:t>
      </w:r>
    </w:p>
    <w:p w:rsidR="0086605B" w:rsidRDefault="0086605B" w:rsidP="0086605B">
      <w:pPr>
        <w:pStyle w:val="NoSpacing"/>
      </w:pPr>
    </w:p>
    <w:p w:rsidR="000A62E6" w:rsidRPr="001A78FC" w:rsidRDefault="000A62E6" w:rsidP="0086605B">
      <w:pPr>
        <w:pStyle w:val="NoSpacing"/>
      </w:pPr>
    </w:p>
    <w:p w:rsidR="0086605B" w:rsidRPr="001A78FC" w:rsidRDefault="004C2C79" w:rsidP="004C2C79">
      <w:pPr>
        <w:pStyle w:val="Heading2"/>
        <w:rPr>
          <w:rFonts w:eastAsia="Times New Roman"/>
        </w:rPr>
      </w:pPr>
      <w:bookmarkStart w:id="5" w:name="_Toc86156120"/>
      <w:r w:rsidRPr="001A78FC">
        <w:rPr>
          <w:rFonts w:eastAsia="Times New Roman"/>
        </w:rPr>
        <w:t xml:space="preserve">Sequencing of RNA from </w:t>
      </w:r>
      <w:r w:rsidR="0086605B" w:rsidRPr="001A78FC">
        <w:rPr>
          <w:rFonts w:eastAsia="Times New Roman"/>
        </w:rPr>
        <w:t>Bulk brain (DLPFC)</w:t>
      </w:r>
      <w:bookmarkEnd w:id="5"/>
    </w:p>
    <w:p w:rsidR="0086605B" w:rsidRPr="001A78FC" w:rsidRDefault="0086605B" w:rsidP="0086605B">
      <w:pPr>
        <w:pStyle w:val="NoSpacing"/>
      </w:pPr>
      <w:r w:rsidRPr="001A78FC">
        <w:t xml:space="preserve">RNA sequencing on DLPFC tissue was carried out in 13 batches within three distinct library preparation and sequencing pipelines. All samples were extracted using </w:t>
      </w:r>
      <w:proofErr w:type="spellStart"/>
      <w:r w:rsidRPr="001A78FC">
        <w:t>Qiagen's</w:t>
      </w:r>
      <w:proofErr w:type="spellEnd"/>
      <w:r w:rsidRPr="001A78FC">
        <w:t xml:space="preserve"> </w:t>
      </w:r>
      <w:proofErr w:type="spellStart"/>
      <w:r w:rsidRPr="001A78FC">
        <w:t>miRNeasy</w:t>
      </w:r>
      <w:proofErr w:type="spellEnd"/>
      <w:r w:rsidRPr="001A78FC">
        <w:t xml:space="preserve"> mini kit (cat. no. 217004) and the RNase free DNase Set (cat. no. 79254), and quantified by </w:t>
      </w:r>
      <w:proofErr w:type="spellStart"/>
      <w:r w:rsidRPr="001A78FC">
        <w:t>Nanodrop</w:t>
      </w:r>
      <w:proofErr w:type="spellEnd"/>
      <w:r w:rsidRPr="001A78FC">
        <w:t xml:space="preserve"> and quality was evaluated by Agilent </w:t>
      </w:r>
      <w:proofErr w:type="spellStart"/>
      <w:r w:rsidRPr="001A78FC">
        <w:t>Bioanalyzer</w:t>
      </w:r>
      <w:proofErr w:type="spellEnd"/>
      <w:r w:rsidRPr="001A78FC">
        <w:t xml:space="preserve">. </w:t>
      </w:r>
      <w:r w:rsidRPr="001A78FC">
        <w:rPr>
          <w:bCs/>
          <w:iCs/>
        </w:rPr>
        <w:t xml:space="preserve">Pipeline1: </w:t>
      </w:r>
      <w:r w:rsidRPr="001A78FC">
        <w:t xml:space="preserve"> The Broad </w:t>
      </w:r>
      <w:proofErr w:type="spellStart"/>
      <w:r w:rsidRPr="001A78FC">
        <w:t>Institutes's</w:t>
      </w:r>
      <w:proofErr w:type="spellEnd"/>
      <w:r w:rsidRPr="001A78FC">
        <w:t xml:space="preserve"> Genomics Platform performed RNA-</w:t>
      </w:r>
      <w:proofErr w:type="spellStart"/>
      <w:r w:rsidRPr="001A78FC">
        <w:t>Seq</w:t>
      </w:r>
      <w:proofErr w:type="spellEnd"/>
      <w:r w:rsidRPr="001A78FC">
        <w:t xml:space="preserve"> library preparation using the strand specific </w:t>
      </w:r>
      <w:proofErr w:type="spellStart"/>
      <w:r w:rsidRPr="001A78FC">
        <w:t>dUTP</w:t>
      </w:r>
      <w:proofErr w:type="spellEnd"/>
      <w:r w:rsidRPr="001A78FC">
        <w:t xml:space="preserve"> method [REF1 - Levin et al., Nature Methods 2010] with poly-A selection [REF2 - </w:t>
      </w:r>
      <w:proofErr w:type="spellStart"/>
      <w:r w:rsidRPr="001A78FC">
        <w:t>Adiconis</w:t>
      </w:r>
      <w:proofErr w:type="spellEnd"/>
      <w:r w:rsidRPr="001A78FC">
        <w:t xml:space="preserve"> et al., Nature Methods 2013]. This method begins with poly-A selection followed by first strand specific cDNA synthesis, and then uses </w:t>
      </w:r>
      <w:proofErr w:type="spellStart"/>
      <w:r w:rsidRPr="001A78FC">
        <w:t>dUTP</w:t>
      </w:r>
      <w:proofErr w:type="spellEnd"/>
      <w:r w:rsidRPr="001A78FC">
        <w:t xml:space="preserve"> for second strand specific cDNA synthesis followed by fragmentation and Illumina adapter ligation for library construction. We have completed RNA-</w:t>
      </w:r>
      <w:proofErr w:type="spellStart"/>
      <w:r w:rsidRPr="001A78FC">
        <w:t>Seq</w:t>
      </w:r>
      <w:proofErr w:type="spellEnd"/>
      <w:r w:rsidRPr="001A78FC">
        <w:t xml:space="preserve"> with 582 of the samples that met quality (</w:t>
      </w:r>
      <w:proofErr w:type="spellStart"/>
      <w:r w:rsidRPr="001A78FC">
        <w:t>Bioanalyzer</w:t>
      </w:r>
      <w:proofErr w:type="spellEnd"/>
      <w:r w:rsidRPr="001A78FC">
        <w:t xml:space="preserve"> RNA integrity (RIN) score &gt;5) and quantity thresholds (5ug). </w:t>
      </w:r>
      <w:r w:rsidRPr="001A78FC">
        <w:lastRenderedPageBreak/>
        <w:t xml:space="preserve">Sequencing was performed on the Illumina </w:t>
      </w:r>
      <w:proofErr w:type="spellStart"/>
      <w:r w:rsidRPr="001A78FC">
        <w:t>HiSeq</w:t>
      </w:r>
      <w:proofErr w:type="spellEnd"/>
      <w:r w:rsidRPr="001A78FC">
        <w:t xml:space="preserve"> with 101bp paired-end reads and achieved coverage of 150M reads of the first 12 samples. These 12 samples will serve as a deep coverage reference and included 2 males and 2 females of non-impaired, mild cognitive impaired, and Alzheimer's cases. This is batch "0". The remaining samples were sequenced with coverage of 50M reads. The libraries were constructed and pooled according to the RIN scores such that similar RIN scores would be pooled together. Varying RIN scores results in a larger spread of insert sizes during library construction and leads to uneven coverage distribution throughout the pool. In our sample set, we noticed that samples with lower RIN scores between 5 and 6 had more adapter contamination. An additional 57 samples were submitted at a later date to the platform and run on an updated protocol requiring only 250ng of input RNA. This protocol is a modification of Illumina's </w:t>
      </w:r>
      <w:proofErr w:type="spellStart"/>
      <w:r w:rsidRPr="001A78FC">
        <w:t>TruSeq</w:t>
      </w:r>
      <w:proofErr w:type="spellEnd"/>
      <w:r w:rsidRPr="001A78FC">
        <w:t xml:space="preserve"> protocol to include long insert sizes and also be strand specific. These late samples were sequenced in batch 2 on plates 7 and 8.</w:t>
      </w:r>
    </w:p>
    <w:p w:rsidR="0086605B" w:rsidRDefault="0086605B" w:rsidP="0086605B">
      <w:pPr>
        <w:pStyle w:val="NoSpacing"/>
        <w:rPr>
          <w:bCs/>
          <w:iCs/>
        </w:rPr>
      </w:pPr>
    </w:p>
    <w:p w:rsidR="0086605B" w:rsidRDefault="0086605B" w:rsidP="0086605B">
      <w:pPr>
        <w:pStyle w:val="NoSpacing"/>
      </w:pPr>
      <w:r w:rsidRPr="001A78FC">
        <w:rPr>
          <w:bCs/>
          <w:iCs/>
        </w:rPr>
        <w:t>For pipeline 2,</w:t>
      </w:r>
      <w:r w:rsidRPr="001A78FC">
        <w:t xml:space="preserve"> RNA sequencing libraries were prepared using the KAPA Stranded RNA-</w:t>
      </w:r>
      <w:proofErr w:type="spellStart"/>
      <w:r w:rsidRPr="001A78FC">
        <w:t>Seq</w:t>
      </w:r>
      <w:proofErr w:type="spellEnd"/>
      <w:r w:rsidRPr="001A78FC">
        <w:t xml:space="preserve"> Kit with </w:t>
      </w:r>
      <w:proofErr w:type="spellStart"/>
      <w:r w:rsidRPr="001A78FC">
        <w:t>RiboErase</w:t>
      </w:r>
      <w:proofErr w:type="spellEnd"/>
      <w:r w:rsidRPr="001A78FC">
        <w:t xml:space="preserve"> (</w:t>
      </w:r>
      <w:proofErr w:type="spellStart"/>
      <w:r w:rsidRPr="001A78FC">
        <w:t>kapabiosystems</w:t>
      </w:r>
      <w:proofErr w:type="spellEnd"/>
      <w:r w:rsidRPr="001A78FC">
        <w:t xml:space="preserve">) in accordance with the manufacturer’s instructions. Briefly, 500ng of total RNA was used for ribosomal depletion and fragmentation. Depleted RNA underwent first and second strand cDNA synthesis. cDNA was then adenylated, ligated to Illumina sequencing adapters, and amplified by PCR. Final libraries were evaluated using fluorescent-based assays including </w:t>
      </w:r>
      <w:proofErr w:type="spellStart"/>
      <w:r w:rsidRPr="001A78FC">
        <w:t>PicoGreen</w:t>
      </w:r>
      <w:proofErr w:type="spellEnd"/>
      <w:r w:rsidRPr="001A78FC">
        <w:t xml:space="preserve"> (Life Technologies) or Qubit </w:t>
      </w:r>
      <w:proofErr w:type="spellStart"/>
      <w:r w:rsidRPr="001A78FC">
        <w:t>Fluorometer</w:t>
      </w:r>
      <w:proofErr w:type="spellEnd"/>
      <w:r w:rsidRPr="001A78FC">
        <w:t xml:space="preserve"> (</w:t>
      </w:r>
      <w:proofErr w:type="spellStart"/>
      <w:r w:rsidRPr="001A78FC">
        <w:t>invitrogen</w:t>
      </w:r>
      <w:proofErr w:type="spellEnd"/>
      <w:r w:rsidRPr="001A78FC">
        <w:t xml:space="preserve">) and Fragment Analyzer (Advanced Analytics) or </w:t>
      </w:r>
      <w:proofErr w:type="spellStart"/>
      <w:r w:rsidRPr="001A78FC">
        <w:t>BioAnalyzer</w:t>
      </w:r>
      <w:proofErr w:type="spellEnd"/>
      <w:r w:rsidRPr="001A78FC">
        <w:t xml:space="preserve"> (Agilent 2100). Sequencing was done on Illumina NovaSeq6000 sequence using 2 x 100bp cycles targeting 30 million reads per sample.</w:t>
      </w:r>
    </w:p>
    <w:p w:rsidR="0086605B" w:rsidRPr="001A78FC" w:rsidRDefault="0086605B" w:rsidP="0086605B">
      <w:pPr>
        <w:pStyle w:val="NoSpacing"/>
      </w:pPr>
    </w:p>
    <w:p w:rsidR="0086605B" w:rsidRPr="0086605B" w:rsidRDefault="0086605B" w:rsidP="0086605B">
      <w:pPr>
        <w:pStyle w:val="NoSpacing"/>
        <w:rPr>
          <w:bCs/>
          <w:iCs/>
        </w:rPr>
      </w:pPr>
      <w:r w:rsidRPr="001A78FC">
        <w:rPr>
          <w:bCs/>
          <w:iCs/>
        </w:rPr>
        <w:t xml:space="preserve">For pipeline 3, </w:t>
      </w:r>
      <w:r w:rsidRPr="001A78FC">
        <w:t>50mgs of frozen brain tissue was dissected and homogenized in DNA/RNA shield buffer (</w:t>
      </w:r>
      <w:proofErr w:type="spellStart"/>
      <w:r w:rsidRPr="001A78FC">
        <w:t>Zymo</w:t>
      </w:r>
      <w:proofErr w:type="spellEnd"/>
      <w:r w:rsidRPr="001A78FC">
        <w:t xml:space="preserve">, R1100) with 3mm beads using a bead homogenizer. RNA was subsequently extracted using </w:t>
      </w:r>
      <w:proofErr w:type="spellStart"/>
      <w:r w:rsidRPr="001A78FC">
        <w:t>Chemagic</w:t>
      </w:r>
      <w:proofErr w:type="spellEnd"/>
      <w:r w:rsidRPr="001A78FC">
        <w:t xml:space="preserve"> RNA tissue kit (Perkin Elmer, CMG-1212) on a </w:t>
      </w:r>
      <w:proofErr w:type="spellStart"/>
      <w:r w:rsidRPr="001A78FC">
        <w:t>Chemagic</w:t>
      </w:r>
      <w:proofErr w:type="spellEnd"/>
      <w:r w:rsidRPr="001A78FC">
        <w:t xml:space="preserve"> 360 instrument. RNA was concentrated (</w:t>
      </w:r>
      <w:proofErr w:type="spellStart"/>
      <w:r w:rsidRPr="001A78FC">
        <w:t>Zymo</w:t>
      </w:r>
      <w:proofErr w:type="spellEnd"/>
      <w:r w:rsidRPr="001A78FC">
        <w:t xml:space="preserve">, R1080) and RQN values calculated with a Fragment Analyzer total RNA assay (Agilent, DNF-471). RNA concentration was determined using Qubit broad range RNA assay (Invitrogen, Q10211) according to the manufacturer’s instructions. 500ng total RNA was used as input for sequencing library generation and </w:t>
      </w:r>
      <w:proofErr w:type="spellStart"/>
      <w:r w:rsidRPr="001A78FC">
        <w:t>rRNA</w:t>
      </w:r>
      <w:proofErr w:type="spellEnd"/>
      <w:r w:rsidRPr="001A78FC">
        <w:t xml:space="preserve"> was depleted with </w:t>
      </w:r>
      <w:proofErr w:type="spellStart"/>
      <w:r w:rsidRPr="001A78FC">
        <w:t>RiboGold</w:t>
      </w:r>
      <w:proofErr w:type="spellEnd"/>
      <w:r w:rsidRPr="001A78FC">
        <w:t xml:space="preserve"> (Illumina, 20020599). A Zephyr G3 NGS workstation (Perkin Elmer) was utilized to generate </w:t>
      </w:r>
      <w:proofErr w:type="spellStart"/>
      <w:r w:rsidRPr="001A78FC">
        <w:t>TruSeq</w:t>
      </w:r>
      <w:proofErr w:type="spellEnd"/>
      <w:r w:rsidRPr="001A78FC">
        <w:t xml:space="preserve"> stranded sequencing libraries (Illumina, 20020599) with custom unique dual indexes (IDT) according to the manufacturer’s instructions with the following modifications. RNA was fragmented for 4 minutes at 85°C. First strand synthesis was extended to 50 minutes. Size selection post adapter ligation was modified to select for larger fragments. Library size and concentrations were determined using an NGS fragment assay (Agilent, DNF-473) and Qubit ds DNA assay (Invitrogen, Q10211) respectively, according to the manufacturer’s instructions. The modified protocol yielded libraries with an average insert size of around 330-370bp. </w:t>
      </w:r>
      <w:r w:rsidRPr="001A78FC">
        <w:rPr>
          <w:bCs/>
          <w:iCs/>
        </w:rPr>
        <w:t>Libraries were</w:t>
      </w:r>
      <w:r w:rsidRPr="001A78FC">
        <w:t xml:space="preserve"> normalized for molarity and sequenced on a </w:t>
      </w:r>
      <w:proofErr w:type="spellStart"/>
      <w:r w:rsidRPr="001A78FC">
        <w:t>NovaSeq</w:t>
      </w:r>
      <w:proofErr w:type="spellEnd"/>
      <w:r w:rsidRPr="001A78FC">
        <w:t xml:space="preserve"> 6000 (Illumina) at 40-50M reads, 2x150bp paired end.</w:t>
      </w:r>
    </w:p>
    <w:p w:rsidR="007F60D8" w:rsidRDefault="007F60D8" w:rsidP="007F60D8">
      <w:pPr>
        <w:pStyle w:val="NoSpacing"/>
      </w:pPr>
    </w:p>
    <w:p w:rsidR="007F60D8" w:rsidRDefault="007F60D8" w:rsidP="007F60D8">
      <w:pPr>
        <w:pStyle w:val="NoSpacing"/>
      </w:pPr>
    </w:p>
    <w:p w:rsidR="00C713CA" w:rsidRDefault="00C713CA">
      <w:pPr>
        <w:spacing w:after="160" w:line="259" w:lineRule="auto"/>
        <w:rPr>
          <w:rFonts w:ascii="Times New Roman" w:hAnsi="Times New Roman"/>
          <w:szCs w:val="22"/>
        </w:rPr>
      </w:pPr>
      <w:r>
        <w:br w:type="page"/>
      </w:r>
    </w:p>
    <w:p w:rsidR="00C713CA" w:rsidRDefault="00C713CA" w:rsidP="00C713CA">
      <w:pPr>
        <w:pStyle w:val="Heading2"/>
      </w:pPr>
      <w:bookmarkStart w:id="6" w:name="_Toc86156121"/>
      <w:r>
        <w:lastRenderedPageBreak/>
        <w:t>Supplementary Table Descriptions</w:t>
      </w:r>
      <w:bookmarkEnd w:id="6"/>
    </w:p>
    <w:p w:rsidR="00C713CA" w:rsidRDefault="00C713CA" w:rsidP="00C713CA">
      <w:pPr>
        <w:pStyle w:val="NoSpacing"/>
      </w:pPr>
      <w:r w:rsidRPr="00B26816">
        <w:rPr>
          <w:b/>
        </w:rPr>
        <w:t>Supplementary Table 1.</w:t>
      </w:r>
      <w:r>
        <w:t xml:space="preserve"> Demographic summary of ROS/MAP participants included in Monocyte Gene expression analysis, stratified by RNA sequencing batch.</w:t>
      </w:r>
    </w:p>
    <w:p w:rsidR="0050538D" w:rsidRDefault="0050538D" w:rsidP="00C713CA">
      <w:pPr>
        <w:pStyle w:val="NoSpacing"/>
        <w:rPr>
          <w:b/>
        </w:rPr>
      </w:pPr>
    </w:p>
    <w:p w:rsidR="00C713CA" w:rsidRDefault="00C713CA" w:rsidP="00C713CA">
      <w:pPr>
        <w:pStyle w:val="NoSpacing"/>
      </w:pPr>
      <w:r w:rsidRPr="00B26816">
        <w:rPr>
          <w:b/>
        </w:rPr>
        <w:t>Supplementary Table 2.</w:t>
      </w:r>
      <w:r>
        <w:t xml:space="preserve"> Gene set overrepresentation analysis results from monocyte-bulk brain correlation.</w:t>
      </w:r>
    </w:p>
    <w:p w:rsidR="0050538D" w:rsidRDefault="0050538D" w:rsidP="00C713CA">
      <w:pPr>
        <w:pStyle w:val="NoSpacing"/>
        <w:rPr>
          <w:b/>
        </w:rPr>
      </w:pPr>
    </w:p>
    <w:p w:rsidR="00BD0468" w:rsidRDefault="00BD0468" w:rsidP="00C713CA">
      <w:pPr>
        <w:pStyle w:val="NoSpacing"/>
      </w:pPr>
      <w:r w:rsidRPr="00BD0468">
        <w:rPr>
          <w:b/>
        </w:rPr>
        <w:t>Supplementary Table 3.</w:t>
      </w:r>
      <w:r>
        <w:t xml:space="preserve"> Results of hypergeometric overlap of differential expression results in monocytes with differential expression results from experiments included in the MyeloidLandscape2 browser.</w:t>
      </w:r>
    </w:p>
    <w:p w:rsidR="0050538D" w:rsidRDefault="0050538D" w:rsidP="00C713CA">
      <w:pPr>
        <w:pStyle w:val="NoSpacing"/>
        <w:rPr>
          <w:b/>
        </w:rPr>
      </w:pPr>
    </w:p>
    <w:p w:rsidR="00C713CA" w:rsidRDefault="00C713CA" w:rsidP="00C713CA">
      <w:pPr>
        <w:pStyle w:val="NoSpacing"/>
      </w:pPr>
      <w:r w:rsidRPr="00B26816">
        <w:rPr>
          <w:b/>
        </w:rPr>
        <w:t xml:space="preserve">Supplementary Table </w:t>
      </w:r>
      <w:r w:rsidR="00BD0468">
        <w:rPr>
          <w:b/>
        </w:rPr>
        <w:t>4</w:t>
      </w:r>
      <w:r w:rsidRPr="00B26816">
        <w:rPr>
          <w:b/>
        </w:rPr>
        <w:t>.</w:t>
      </w:r>
      <w:r>
        <w:t xml:space="preserve"> Gene set overrepresentation analysis results for significantly up- and down-regulated genes from differential expression analysis of 26</w:t>
      </w:r>
      <w:r w:rsidR="003B4B60">
        <w:t xml:space="preserve"> cognitive and </w:t>
      </w:r>
      <w:proofErr w:type="spellStart"/>
      <w:r w:rsidR="003B4B60">
        <w:t>neuropathologic</w:t>
      </w:r>
      <w:proofErr w:type="spellEnd"/>
      <w:r>
        <w:t xml:space="preserve"> traits.</w:t>
      </w:r>
    </w:p>
    <w:p w:rsidR="0050538D" w:rsidRDefault="0050538D" w:rsidP="00C713CA">
      <w:pPr>
        <w:pStyle w:val="NoSpacing"/>
        <w:rPr>
          <w:b/>
        </w:rPr>
      </w:pPr>
    </w:p>
    <w:p w:rsidR="00C713CA" w:rsidRPr="00B26816" w:rsidRDefault="00C713CA" w:rsidP="00C713CA">
      <w:pPr>
        <w:pStyle w:val="NoSpacing"/>
      </w:pPr>
      <w:r w:rsidRPr="00B26816">
        <w:rPr>
          <w:b/>
        </w:rPr>
        <w:t xml:space="preserve">Supplementary Table </w:t>
      </w:r>
      <w:r w:rsidR="00BD0468">
        <w:rPr>
          <w:b/>
        </w:rPr>
        <w:t>5</w:t>
      </w:r>
      <w:r w:rsidRPr="00B26816">
        <w:rPr>
          <w:b/>
        </w:rPr>
        <w:t>.</w:t>
      </w:r>
      <w:r>
        <w:rPr>
          <w:b/>
        </w:rPr>
        <w:t xml:space="preserve"> </w:t>
      </w:r>
      <w:r w:rsidRPr="00B26816">
        <w:t xml:space="preserve">Whole-transcriptome </w:t>
      </w:r>
      <w:r w:rsidR="003B4B60">
        <w:t>r</w:t>
      </w:r>
      <w:r w:rsidRPr="00B26816">
        <w:t>ank</w:t>
      </w:r>
      <w:r>
        <w:t xml:space="preserve">-based gene set enrichment analysis </w:t>
      </w:r>
      <w:r w:rsidR="003B4B60">
        <w:t xml:space="preserve">(GSEA) </w:t>
      </w:r>
      <w:r>
        <w:t xml:space="preserve">results for differential expression analysis of 26 cognitive and </w:t>
      </w:r>
      <w:proofErr w:type="spellStart"/>
      <w:r w:rsidR="003B4B60">
        <w:t>neuropathologic</w:t>
      </w:r>
      <w:proofErr w:type="spellEnd"/>
      <w:r>
        <w:t xml:space="preserve"> traits.</w:t>
      </w:r>
    </w:p>
    <w:p w:rsidR="00C713CA" w:rsidRDefault="00C713CA" w:rsidP="00C713CA">
      <w:pPr>
        <w:pStyle w:val="NoSpacing"/>
      </w:pPr>
    </w:p>
    <w:p w:rsidR="00C713CA" w:rsidRDefault="00C713CA" w:rsidP="00C713CA">
      <w:pPr>
        <w:pStyle w:val="Heading2"/>
      </w:pPr>
      <w:bookmarkStart w:id="7" w:name="_Toc86156122"/>
      <w:r>
        <w:t>Supplementary Figure Legends</w:t>
      </w:r>
      <w:bookmarkEnd w:id="7"/>
    </w:p>
    <w:p w:rsidR="00C713CA" w:rsidRDefault="00C713CA" w:rsidP="00C713CA">
      <w:pPr>
        <w:pStyle w:val="NoSpacing"/>
      </w:pPr>
      <w:r w:rsidRPr="00F13CE1">
        <w:rPr>
          <w:b/>
        </w:rPr>
        <w:t>Supplementary Figure 1.</w:t>
      </w:r>
      <w:r w:rsidRPr="00F13CE1">
        <w:t xml:space="preserve"> </w:t>
      </w:r>
      <w:r w:rsidR="00502633">
        <w:t>Significantly overlapping sets of differentially expressed genes</w:t>
      </w:r>
      <w:r w:rsidR="00F13CE1">
        <w:t xml:space="preserve"> from</w:t>
      </w:r>
      <w:r w:rsidRPr="00F13CE1">
        <w:t xml:space="preserve"> monocyte differential</w:t>
      </w:r>
      <w:r w:rsidR="00F13CE1">
        <w:t xml:space="preserve"> expression analyses and</w:t>
      </w:r>
      <w:r w:rsidRPr="00F13CE1">
        <w:t xml:space="preserve"> the Myeloid Landscape 2 </w:t>
      </w:r>
      <w:r w:rsidR="00F13CE1">
        <w:t xml:space="preserve">differential expression </w:t>
      </w:r>
      <w:r w:rsidRPr="00F13CE1">
        <w:t>experiments</w:t>
      </w:r>
      <w:r w:rsidR="00135503" w:rsidRPr="00F13CE1">
        <w:t>.</w:t>
      </w:r>
      <w:r w:rsidR="00502633">
        <w:t xml:space="preserve"> </w:t>
      </w:r>
      <w:proofErr w:type="spellStart"/>
      <w:r w:rsidR="00502633">
        <w:t>Piecharts</w:t>
      </w:r>
      <w:proofErr w:type="spellEnd"/>
      <w:r w:rsidR="00502633">
        <w:t xml:space="preserve"> are shown only where hypergeometric overlap of significant genes (</w:t>
      </w:r>
      <w:r w:rsidR="00367183">
        <w:t>two-sided</w:t>
      </w:r>
      <w:r w:rsidR="008A227D">
        <w:t xml:space="preserve"> corrected</w:t>
      </w:r>
      <w:r w:rsidR="00367183">
        <w:t xml:space="preserve"> </w:t>
      </w:r>
      <w:proofErr w:type="spellStart"/>
      <w:r w:rsidR="00502633" w:rsidRPr="00502633">
        <w:rPr>
          <w:i/>
        </w:rPr>
        <w:t>p</w:t>
      </w:r>
      <w:r w:rsidR="00502633" w:rsidRPr="00502633">
        <w:rPr>
          <w:vertAlign w:val="subscript"/>
        </w:rPr>
        <w:t>FDR</w:t>
      </w:r>
      <w:proofErr w:type="spellEnd"/>
      <w:r w:rsidR="00502633">
        <w:t xml:space="preserve">&lt;0.05 in both experiments) was significant at uncorrected </w:t>
      </w:r>
      <w:r w:rsidR="00502633" w:rsidRPr="00502633">
        <w:rPr>
          <w:i/>
        </w:rPr>
        <w:t>p</w:t>
      </w:r>
      <w:r w:rsidR="00502633">
        <w:t>&lt;0.05. The color</w:t>
      </w:r>
      <w:r w:rsidR="00977454">
        <w:t xml:space="preserve">s within each </w:t>
      </w:r>
      <w:proofErr w:type="spellStart"/>
      <w:r w:rsidR="00977454">
        <w:t>piechart</w:t>
      </w:r>
      <w:proofErr w:type="spellEnd"/>
      <w:r w:rsidR="00977454">
        <w:t xml:space="preserve"> denote</w:t>
      </w:r>
      <w:r w:rsidR="00502633">
        <w:t xml:space="preserve"> the directi</w:t>
      </w:r>
      <w:r w:rsidR="00977454">
        <w:t>on of effect in each experiment</w:t>
      </w:r>
      <w:r w:rsidR="00502633">
        <w:t xml:space="preserve">. The labeled numbers </w:t>
      </w:r>
      <w:r w:rsidR="00C82B28">
        <w:t xml:space="preserve">are the observed number of overlapping significantly differentially expressed genes between experiments. </w:t>
      </w:r>
      <w:r w:rsidR="00502633">
        <w:t xml:space="preserve">For full statistics including raw hypergeometric </w:t>
      </w:r>
      <w:r w:rsidR="00502633" w:rsidRPr="00977454">
        <w:rPr>
          <w:i/>
        </w:rPr>
        <w:t>p</w:t>
      </w:r>
      <w:r w:rsidR="00502633">
        <w:t xml:space="preserve">-values, expected overlap, fold-enrichment, and universe size, please see </w:t>
      </w:r>
      <w:r w:rsidR="00502633" w:rsidRPr="003C4853">
        <w:rPr>
          <w:i/>
        </w:rPr>
        <w:t>Supplementary Table 3</w:t>
      </w:r>
      <w:r w:rsidR="00502633">
        <w:t>.</w:t>
      </w:r>
      <w:r w:rsidR="00754D88">
        <w:t xml:space="preserve"> Note that the label name for experiment GSE52564 has been truncated to aid the readability of the plot.</w:t>
      </w:r>
      <w:r w:rsidR="00A84099">
        <w:t xml:space="preserve"> Full details for all experiments are available at </w:t>
      </w:r>
      <w:r w:rsidR="00854139" w:rsidRPr="00854139">
        <w:t>http://research-pub.gene.com/BrainMyeloidLandscape/BrainMyeloidLandscape2/#</w:t>
      </w:r>
      <w:r w:rsidR="00854139">
        <w:t>.</w:t>
      </w:r>
    </w:p>
    <w:p w:rsidR="0050538D" w:rsidRDefault="0050538D" w:rsidP="00C713CA">
      <w:pPr>
        <w:pStyle w:val="NoSpacing"/>
        <w:rPr>
          <w:b/>
        </w:rPr>
      </w:pPr>
    </w:p>
    <w:p w:rsidR="00C713CA" w:rsidRDefault="00C713CA" w:rsidP="00C713CA">
      <w:pPr>
        <w:pStyle w:val="NoSpacing"/>
      </w:pPr>
      <w:r w:rsidRPr="00B26816">
        <w:rPr>
          <w:b/>
        </w:rPr>
        <w:t>Supplementary Figure 2.</w:t>
      </w:r>
      <w:r>
        <w:t xml:space="preserve"> </w:t>
      </w:r>
      <w:r w:rsidR="0085065C">
        <w:t xml:space="preserve">Top gene set enrichment analysis (GSEA) results for differential expression of 26 cognitive and </w:t>
      </w:r>
      <w:proofErr w:type="spellStart"/>
      <w:r w:rsidR="0085065C">
        <w:t>neuropathologic</w:t>
      </w:r>
      <w:proofErr w:type="spellEnd"/>
      <w:r w:rsidR="0085065C">
        <w:t xml:space="preserve"> traits.</w:t>
      </w:r>
      <w:r w:rsidR="003E7833">
        <w:t xml:space="preserve"> </w:t>
      </w:r>
      <w:r w:rsidR="003E73AA">
        <w:t xml:space="preserve">A) </w:t>
      </w:r>
      <w:proofErr w:type="spellStart"/>
      <w:r w:rsidR="003E7833">
        <w:t>Heatmap</w:t>
      </w:r>
      <w:proofErr w:type="spellEnd"/>
      <w:r w:rsidR="003E7833">
        <w:t xml:space="preserve"> showing normalized enrichment score (NES) for all GO terms with at least one </w:t>
      </w:r>
      <w:r w:rsidR="000C54F0">
        <w:t xml:space="preserve">trait having an NES &gt; 2 or &lt; -2 and corrected enrichment </w:t>
      </w:r>
      <w:r w:rsidR="000C54F0" w:rsidRPr="003E73AA">
        <w:rPr>
          <w:i/>
        </w:rPr>
        <w:t>p</w:t>
      </w:r>
      <w:r w:rsidR="000C54F0">
        <w:t>-value</w:t>
      </w:r>
      <w:r w:rsidR="003E73AA">
        <w:t xml:space="preserve"> &lt; 0.05. FDR-based</w:t>
      </w:r>
      <w:r w:rsidR="000C54F0">
        <w:t xml:space="preserve"> multiple testing correction was </w:t>
      </w:r>
      <w:r w:rsidR="003E73AA">
        <w:t xml:space="preserve">first </w:t>
      </w:r>
      <w:r w:rsidR="000C54F0">
        <w:t>applied across all tested GO terms for each phenotype separately</w:t>
      </w:r>
      <w:r w:rsidR="003E73AA">
        <w:t xml:space="preserve">, and then again using the </w:t>
      </w:r>
      <w:proofErr w:type="spellStart"/>
      <w:r w:rsidR="003E73AA">
        <w:t>B</w:t>
      </w:r>
      <w:r w:rsidR="000C54F0">
        <w:t>onferroni</w:t>
      </w:r>
      <w:proofErr w:type="spellEnd"/>
      <w:r w:rsidR="000C54F0">
        <w:t xml:space="preserve"> approach</w:t>
      </w:r>
      <w:r w:rsidR="003E73AA">
        <w:t xml:space="preserve"> to account for the number of phenotypes tested</w:t>
      </w:r>
      <w:r w:rsidR="000C54F0">
        <w:t xml:space="preserve"> (FDR </w:t>
      </w:r>
      <w:r w:rsidR="000C54F0" w:rsidRPr="003E73AA">
        <w:rPr>
          <w:i/>
        </w:rPr>
        <w:t>p</w:t>
      </w:r>
      <w:r w:rsidR="000C54F0">
        <w:t>-value threshold = 0.05/26 = 0.0019)</w:t>
      </w:r>
      <w:r w:rsidR="003E73AA">
        <w:t xml:space="preserve">. B) </w:t>
      </w:r>
      <w:proofErr w:type="spellStart"/>
      <w:r w:rsidR="003E73AA">
        <w:t>Heatmap</w:t>
      </w:r>
      <w:proofErr w:type="spellEnd"/>
      <w:r w:rsidR="003E73AA">
        <w:t xml:space="preserve"> showing NES for significant enrichments against condensed GO ontologies to aid in interpretation of overlapping GO group themes from panel A. All GO terms with corrected </w:t>
      </w:r>
      <w:r w:rsidR="003E73AA" w:rsidRPr="003E73AA">
        <w:rPr>
          <w:i/>
        </w:rPr>
        <w:t>p</w:t>
      </w:r>
      <w:r w:rsidR="003E73AA">
        <w:t xml:space="preserve">-value&lt;0.05 (n=84) were entered into the </w:t>
      </w:r>
      <w:proofErr w:type="spellStart"/>
      <w:r w:rsidR="003E73AA">
        <w:t>rrvgo</w:t>
      </w:r>
      <w:proofErr w:type="spellEnd"/>
      <w:r w:rsidR="003E73AA">
        <w:t xml:space="preserve"> similarity and term-reduction pipeline (similarity parameter set to 0.8), which yielded 22</w:t>
      </w:r>
      <w:r w:rsidR="000C54F0">
        <w:t xml:space="preserve"> </w:t>
      </w:r>
      <w:r w:rsidR="0066778B">
        <w:t>parent GO terms</w:t>
      </w:r>
      <w:r w:rsidR="003E73AA">
        <w:t xml:space="preserve"> covering all 84</w:t>
      </w:r>
      <w:r w:rsidR="0066778B">
        <w:t xml:space="preserve"> terms identified within each pathology separately.</w:t>
      </w:r>
      <w:r w:rsidR="003E73AA">
        <w:t xml:space="preserve"> </w:t>
      </w:r>
    </w:p>
    <w:p w:rsidR="0050538D" w:rsidRDefault="0050538D" w:rsidP="00C713CA">
      <w:pPr>
        <w:pStyle w:val="NoSpacing"/>
        <w:rPr>
          <w:b/>
        </w:rPr>
      </w:pPr>
    </w:p>
    <w:p w:rsidR="00C713CA" w:rsidRDefault="00C713CA" w:rsidP="00C713CA">
      <w:pPr>
        <w:pStyle w:val="NoSpacing"/>
      </w:pPr>
      <w:r w:rsidRPr="00B26816">
        <w:rPr>
          <w:b/>
        </w:rPr>
        <w:t>Supplementary Figure 3.</w:t>
      </w:r>
      <w:r>
        <w:t xml:space="preserve"> </w:t>
      </w:r>
      <w:r w:rsidR="0042258F">
        <w:t>Overlap in gene membership between modules derived from monocytes and DLPFC.</w:t>
      </w:r>
      <w:r w:rsidR="00DA02A6">
        <w:t xml:space="preserve"> Numbers within cells are the number of genes overlapping between module identities in DLPFC and monocytes. The color scale represents –log</w:t>
      </w:r>
      <w:r w:rsidR="00DA02A6" w:rsidRPr="000427B3">
        <w:rPr>
          <w:vertAlign w:val="subscript"/>
        </w:rPr>
        <w:t>10</w:t>
      </w:r>
      <w:r w:rsidR="00DA02A6">
        <w:t>(</w:t>
      </w:r>
      <w:r w:rsidR="000427B3" w:rsidRPr="000427B3">
        <w:rPr>
          <w:i/>
        </w:rPr>
        <w:t>p</w:t>
      </w:r>
      <w:r w:rsidR="000427B3">
        <w:t>-values) from the h</w:t>
      </w:r>
      <w:r w:rsidR="00DA02A6">
        <w:t>ypergeometric test of overlap</w:t>
      </w:r>
      <w:r w:rsidR="000427B3">
        <w:t xml:space="preserve"> (calculated using the </w:t>
      </w:r>
      <w:proofErr w:type="spellStart"/>
      <w:r w:rsidR="000427B3" w:rsidRPr="000427B3">
        <w:t>overlapTableUsingKME</w:t>
      </w:r>
      <w:proofErr w:type="spellEnd"/>
      <w:r w:rsidR="000427B3">
        <w:t xml:space="preserve"> function in WGCNA).</w:t>
      </w:r>
    </w:p>
    <w:p w:rsidR="0050538D" w:rsidRDefault="0050538D" w:rsidP="00C713CA">
      <w:pPr>
        <w:pStyle w:val="NoSpacing"/>
        <w:rPr>
          <w:b/>
        </w:rPr>
      </w:pPr>
    </w:p>
    <w:p w:rsidR="00C713CA" w:rsidRPr="001428B2" w:rsidRDefault="00C713CA" w:rsidP="00C713CA">
      <w:pPr>
        <w:pStyle w:val="NoSpacing"/>
      </w:pPr>
      <w:r w:rsidRPr="00ED0F17">
        <w:rPr>
          <w:b/>
        </w:rPr>
        <w:t>Supplementary Figure 4.</w:t>
      </w:r>
      <w:r>
        <w:rPr>
          <w:b/>
        </w:rPr>
        <w:t xml:space="preserve"> </w:t>
      </w:r>
      <w:r w:rsidR="0042258F">
        <w:t>Module membership vs. trait association in monocytes and DLPFC.</w:t>
      </w:r>
      <w:r w:rsidR="0080694D">
        <w:t xml:space="preserve"> The y-axes represent moderated t-statistics for each gene (data point) from </w:t>
      </w:r>
      <w:r w:rsidR="00A6574E">
        <w:t>transcriptome-wide differential expression analyses of the mid-frontal cortical proportion of activation microglia (PAM) phenotype (left panel) and neurofibrillary tangles (NFT; right panel). The x-axes represent the loadings of each gene onto the first principal component (</w:t>
      </w:r>
      <w:proofErr w:type="spellStart"/>
      <w:r w:rsidR="00A6574E">
        <w:t>eigengene</w:t>
      </w:r>
      <w:proofErr w:type="spellEnd"/>
      <w:r w:rsidR="00A6574E">
        <w:t>) of the module to which it belongs (facet titles).</w:t>
      </w:r>
    </w:p>
    <w:p w:rsidR="0050538D" w:rsidRDefault="0050538D" w:rsidP="00C713CA">
      <w:pPr>
        <w:pStyle w:val="NoSpacing"/>
        <w:rPr>
          <w:b/>
        </w:rPr>
      </w:pPr>
    </w:p>
    <w:p w:rsidR="00C713CA" w:rsidRPr="0042258F" w:rsidRDefault="00C713CA" w:rsidP="00C713CA">
      <w:pPr>
        <w:pStyle w:val="NoSpacing"/>
      </w:pPr>
      <w:r w:rsidRPr="00ED0F17">
        <w:rPr>
          <w:b/>
        </w:rPr>
        <w:t>Supplementary Figure 5.</w:t>
      </w:r>
      <w:r w:rsidR="0042258F">
        <w:rPr>
          <w:b/>
        </w:rPr>
        <w:t xml:space="preserve"> </w:t>
      </w:r>
      <w:r w:rsidR="0042258F">
        <w:t>Association of top 20 whole transcriptome expression principal components (PCs) with technical and biological covariates co</w:t>
      </w:r>
      <w:r w:rsidR="00504C3E">
        <w:t>-</w:t>
      </w:r>
      <w:r w:rsidR="0042258F">
        <w:t>variates in (Monocytes).</w:t>
      </w:r>
      <w:r w:rsidR="00FC28A6">
        <w:t xml:space="preserve"> </w:t>
      </w:r>
      <w:r w:rsidR="00FC28A6">
        <w:t>Correlation values shown correspond to different statistics of association, depending on the datatype of each covariate. For continuous variables, Pearson correlation was used. For categorical variables, one-way ANOVA was used (</w:t>
      </w:r>
      <w:proofErr w:type="spellStart"/>
      <w:r w:rsidR="00FC28A6">
        <w:t>Kruskall</w:t>
      </w:r>
      <w:proofErr w:type="spellEnd"/>
      <w:r w:rsidR="00FC28A6">
        <w:t xml:space="preserve">-Wallis test was </w:t>
      </w:r>
      <w:r w:rsidR="00FC28A6">
        <w:lastRenderedPageBreak/>
        <w:t xml:space="preserve">used instead of one-way ANOVA if Shapiro-Wilk normality test of expression PC was rejected at </w:t>
      </w:r>
      <w:r w:rsidR="00FC28A6" w:rsidRPr="00281BBC">
        <w:rPr>
          <w:i/>
        </w:rPr>
        <w:t>p</w:t>
      </w:r>
      <w:r w:rsidR="00FC28A6">
        <w:t xml:space="preserve">&lt;0.05). The “correlation” values for ANOVA correspond to the square root of the explained sum of squares divided by the total sum of squares. For </w:t>
      </w:r>
      <w:proofErr w:type="spellStart"/>
      <w:r w:rsidR="00FC28A6">
        <w:t>Krustall</w:t>
      </w:r>
      <w:proofErr w:type="spellEnd"/>
      <w:r w:rsidR="00FC28A6">
        <w:t xml:space="preserve">-Wallis tests, the “correlation” values were calculated as the square root of the rank sum statistic divided by the total number of observations. All </w:t>
      </w:r>
      <w:r w:rsidR="00FC28A6" w:rsidRPr="00281BBC">
        <w:rPr>
          <w:i/>
        </w:rPr>
        <w:t>p</w:t>
      </w:r>
      <w:r w:rsidR="00FC28A6">
        <w:t>-values used for determining significance were two-sided.</w:t>
      </w:r>
    </w:p>
    <w:p w:rsidR="0050538D" w:rsidRDefault="0050538D" w:rsidP="00C713CA">
      <w:pPr>
        <w:pStyle w:val="NoSpacing"/>
        <w:rPr>
          <w:b/>
        </w:rPr>
      </w:pPr>
    </w:p>
    <w:p w:rsidR="00C713CA" w:rsidRPr="00ED0F17" w:rsidRDefault="00C713CA" w:rsidP="00C713CA">
      <w:pPr>
        <w:pStyle w:val="NoSpacing"/>
        <w:rPr>
          <w:b/>
        </w:rPr>
      </w:pPr>
      <w:r w:rsidRPr="00ED0F17">
        <w:rPr>
          <w:b/>
        </w:rPr>
        <w:t>Supplementary Figure 6.</w:t>
      </w:r>
      <w:r w:rsidR="0042258F" w:rsidRPr="0042258F">
        <w:t xml:space="preserve"> </w:t>
      </w:r>
      <w:r w:rsidR="0042258F">
        <w:t>Association of top 20 whole transcriptome expression principal components (PCs) with technical and biological covariates co</w:t>
      </w:r>
      <w:r w:rsidR="00504C3E">
        <w:t>-</w:t>
      </w:r>
      <w:r w:rsidR="0042258F">
        <w:t>variates in (DLPFC).</w:t>
      </w:r>
      <w:r w:rsidR="00FC28A6">
        <w:t xml:space="preserve"> </w:t>
      </w:r>
      <w:r w:rsidR="00FC28A6">
        <w:t>Correlation values shown correspond to different statistics of association, depending on the datatype of each covariate. For continuous variables, Pearson correlation was used. For categorical variables, one-way ANOVA was used (</w:t>
      </w:r>
      <w:proofErr w:type="spellStart"/>
      <w:r w:rsidR="00FC28A6">
        <w:t>Kruskall</w:t>
      </w:r>
      <w:proofErr w:type="spellEnd"/>
      <w:r w:rsidR="00FC28A6">
        <w:t xml:space="preserve">-Wallis test was used instead of one-way ANOVA if Shapiro-Wilk normality test of expression PC was rejected at </w:t>
      </w:r>
      <w:r w:rsidR="00FC28A6" w:rsidRPr="00281BBC">
        <w:rPr>
          <w:i/>
        </w:rPr>
        <w:t>p</w:t>
      </w:r>
      <w:r w:rsidR="00FC28A6">
        <w:t xml:space="preserve">&lt;0.05). The “correlation” values for ANOVA correspond to the square root of the explained sum of squares divided by the total sum of squares. For </w:t>
      </w:r>
      <w:proofErr w:type="spellStart"/>
      <w:r w:rsidR="00FC28A6">
        <w:t>Krustall</w:t>
      </w:r>
      <w:proofErr w:type="spellEnd"/>
      <w:r w:rsidR="00FC28A6">
        <w:t xml:space="preserve">-Wallis tests, the “correlation” values were calculated as the square root of the rank sum statistic divided by the total number of observations. All </w:t>
      </w:r>
      <w:r w:rsidR="00FC28A6" w:rsidRPr="00281BBC">
        <w:rPr>
          <w:i/>
        </w:rPr>
        <w:t>p</w:t>
      </w:r>
      <w:r w:rsidR="00FC28A6">
        <w:t>-values used for determining significance were two-sided.</w:t>
      </w:r>
    </w:p>
    <w:p w:rsidR="0050538D" w:rsidRDefault="0050538D" w:rsidP="00C713CA">
      <w:pPr>
        <w:pStyle w:val="NoSpacing"/>
        <w:rPr>
          <w:b/>
        </w:rPr>
      </w:pPr>
    </w:p>
    <w:p w:rsidR="00C713CA" w:rsidRPr="00ED0F17" w:rsidRDefault="00C713CA" w:rsidP="00C713CA">
      <w:pPr>
        <w:pStyle w:val="NoSpacing"/>
        <w:rPr>
          <w:b/>
        </w:rPr>
      </w:pPr>
      <w:r w:rsidRPr="00ED0F17">
        <w:rPr>
          <w:b/>
        </w:rPr>
        <w:t>Supplementary Figure 7.</w:t>
      </w:r>
      <w:r w:rsidR="0042258F" w:rsidRPr="0042258F">
        <w:t xml:space="preserve"> </w:t>
      </w:r>
      <w:r w:rsidR="0042258F">
        <w:t>Correlation matrix of technical and biological covariates in monocyte dataset.</w:t>
      </w:r>
      <w:r w:rsidR="00281BBC">
        <w:t xml:space="preserve"> Correlation values shown correspond to different statistics of association, depending on the datatype of each covariate. For </w:t>
      </w:r>
      <w:r w:rsidR="00FC28A6">
        <w:t xml:space="preserve">two </w:t>
      </w:r>
      <w:r w:rsidR="00281BBC">
        <w:t xml:space="preserve">continuous variables, Pearson correlation was used. For </w:t>
      </w:r>
      <w:r w:rsidR="00FC28A6">
        <w:t>one continuous and one categorical variable</w:t>
      </w:r>
      <w:r w:rsidR="00281BBC">
        <w:t>, one-way ANOVA was used (</w:t>
      </w:r>
      <w:proofErr w:type="spellStart"/>
      <w:r w:rsidR="00281BBC">
        <w:t>Kruskall</w:t>
      </w:r>
      <w:proofErr w:type="spellEnd"/>
      <w:r w:rsidR="00281BBC">
        <w:t xml:space="preserve">-Wallis test was used instead of one-way ANOVA if Shapiro-Wilk normality test of expression PC was rejected at </w:t>
      </w:r>
      <w:r w:rsidR="00281BBC" w:rsidRPr="00281BBC">
        <w:rPr>
          <w:i/>
        </w:rPr>
        <w:t>p</w:t>
      </w:r>
      <w:r w:rsidR="00281BBC">
        <w:t xml:space="preserve">&lt;0.05). The “correlation” values for ANOVA </w:t>
      </w:r>
      <w:r w:rsidR="007F3E51">
        <w:t>correspond to the square root of the explained sum of squares divided by the total sum of squares.</w:t>
      </w:r>
      <w:r w:rsidR="00281BBC">
        <w:t xml:space="preserve"> </w:t>
      </w:r>
      <w:r w:rsidR="007F3E51">
        <w:t xml:space="preserve">For </w:t>
      </w:r>
      <w:proofErr w:type="spellStart"/>
      <w:r w:rsidR="007F3E51">
        <w:t>Krustall</w:t>
      </w:r>
      <w:proofErr w:type="spellEnd"/>
      <w:r w:rsidR="007F3E51">
        <w:t xml:space="preserve">-Wallis tests, the “correlation” values were calculated as the square root of the rank sum statistic divided by the total number of observations. </w:t>
      </w:r>
      <w:r w:rsidR="00FC28A6">
        <w:t xml:space="preserve">For two categorical variables, Fisher’s exact tests were used. </w:t>
      </w:r>
      <w:r w:rsidR="00281BBC">
        <w:t xml:space="preserve">All </w:t>
      </w:r>
      <w:r w:rsidR="00281BBC" w:rsidRPr="00281BBC">
        <w:rPr>
          <w:i/>
        </w:rPr>
        <w:t>p</w:t>
      </w:r>
      <w:r w:rsidR="00281BBC">
        <w:t>-values used for determining significance were two-sided.</w:t>
      </w:r>
    </w:p>
    <w:p w:rsidR="0050538D" w:rsidRDefault="0050538D" w:rsidP="00C713CA">
      <w:pPr>
        <w:pStyle w:val="NoSpacing"/>
        <w:rPr>
          <w:b/>
        </w:rPr>
      </w:pPr>
    </w:p>
    <w:p w:rsidR="0050538D" w:rsidRDefault="00C713CA" w:rsidP="00C713CA">
      <w:pPr>
        <w:pStyle w:val="NoSpacing"/>
      </w:pPr>
      <w:r w:rsidRPr="00ED0F17">
        <w:rPr>
          <w:b/>
        </w:rPr>
        <w:t>Supplementary Figure 8.</w:t>
      </w:r>
      <w:r w:rsidR="0042258F">
        <w:rPr>
          <w:b/>
        </w:rPr>
        <w:t xml:space="preserve"> </w:t>
      </w:r>
      <w:r w:rsidR="0042258F">
        <w:t>Correlation matrix of technical and biological covariates in DLPFC dataset.</w:t>
      </w:r>
      <w:r w:rsidR="00281BBC">
        <w:t xml:space="preserve"> </w:t>
      </w:r>
      <w:r w:rsidR="00FC28A6">
        <w:t>Correlation values shown correspond to different statistics of association, depending on the datatype of each covariate. For two continuous variables, Pearson correlation was used. For one continuous and one categorical variable, one-way ANOVA was used (</w:t>
      </w:r>
      <w:proofErr w:type="spellStart"/>
      <w:r w:rsidR="00FC28A6">
        <w:t>Kruskall</w:t>
      </w:r>
      <w:proofErr w:type="spellEnd"/>
      <w:r w:rsidR="00FC28A6">
        <w:t xml:space="preserve">-Wallis test was used instead of one-way ANOVA if Shapiro-Wilk normality test of expression PC was rejected at </w:t>
      </w:r>
      <w:r w:rsidR="00FC28A6" w:rsidRPr="00281BBC">
        <w:rPr>
          <w:i/>
        </w:rPr>
        <w:t>p</w:t>
      </w:r>
      <w:r w:rsidR="00FC28A6">
        <w:t xml:space="preserve">&lt;0.05). The “correlation” values for ANOVA correspond to the square root of the explained sum of squares divided by the total sum of squares. For </w:t>
      </w:r>
      <w:proofErr w:type="spellStart"/>
      <w:r w:rsidR="00FC28A6">
        <w:t>Krustall</w:t>
      </w:r>
      <w:proofErr w:type="spellEnd"/>
      <w:r w:rsidR="00FC28A6">
        <w:t xml:space="preserve">-Wallis tests, the “correlation” values were calculated as the square root of the rank sum statistic divided by the total number of observations. For two categorical variables, Fisher’s exact tests were used. All </w:t>
      </w:r>
      <w:r w:rsidR="00FC28A6" w:rsidRPr="00281BBC">
        <w:rPr>
          <w:i/>
        </w:rPr>
        <w:t>p</w:t>
      </w:r>
      <w:r w:rsidR="00FC28A6">
        <w:t>-values used for determining significance were two-sided.</w:t>
      </w:r>
    </w:p>
    <w:p w:rsidR="00FC28A6" w:rsidRDefault="00FC28A6" w:rsidP="00C713CA">
      <w:pPr>
        <w:pStyle w:val="NoSpacing"/>
        <w:rPr>
          <w:b/>
        </w:rPr>
      </w:pPr>
    </w:p>
    <w:p w:rsidR="00C713CA" w:rsidRPr="00421EBF" w:rsidRDefault="00C713CA" w:rsidP="00C713CA">
      <w:pPr>
        <w:pStyle w:val="NoSpacing"/>
      </w:pPr>
      <w:r w:rsidRPr="00ED0F17">
        <w:rPr>
          <w:b/>
        </w:rPr>
        <w:t>Supplementary Figure 9.</w:t>
      </w:r>
      <w:r w:rsidR="00421EBF">
        <w:rPr>
          <w:b/>
        </w:rPr>
        <w:t xml:space="preserve"> </w:t>
      </w:r>
      <w:r w:rsidR="00421EBF">
        <w:t>Dendrograms of subject hierarchical clustering based on monocyte gene expression A) before and B) after pruning for outliers. Dendrograms of subject hierarchical clustering based on DLPFC expression data C) before and D) after pruning for outliers.</w:t>
      </w:r>
      <w:r w:rsidR="00281BBC">
        <w:t xml:space="preserve"> See Methods for approach to outlier detection in both datasets.</w:t>
      </w:r>
    </w:p>
    <w:p w:rsidR="0050538D" w:rsidRDefault="0050538D" w:rsidP="00C713CA">
      <w:pPr>
        <w:pStyle w:val="NoSpacing"/>
        <w:rPr>
          <w:b/>
        </w:rPr>
      </w:pPr>
    </w:p>
    <w:p w:rsidR="00C713CA" w:rsidRPr="00ED0F17" w:rsidRDefault="00C713CA" w:rsidP="00C713CA">
      <w:pPr>
        <w:pStyle w:val="NoSpacing"/>
        <w:rPr>
          <w:b/>
        </w:rPr>
      </w:pPr>
      <w:r w:rsidRPr="00ED0F17">
        <w:rPr>
          <w:b/>
        </w:rPr>
        <w:t>Supplementary Figure 10.</w:t>
      </w:r>
      <w:r w:rsidR="00421EBF" w:rsidRPr="00421EBF">
        <w:t xml:space="preserve"> </w:t>
      </w:r>
      <w:r w:rsidR="0068032B">
        <w:t>Results of power threshold search experiment prior to WGCNA in monocytes (</w:t>
      </w:r>
      <w:proofErr w:type="gramStart"/>
      <w:r w:rsidR="0068032B">
        <w:t>A,B</w:t>
      </w:r>
      <w:proofErr w:type="gramEnd"/>
      <w:r w:rsidR="0068032B">
        <w:t>) and DLPFC (C,D).</w:t>
      </w:r>
      <w:r w:rsidR="00CD0842">
        <w:t xml:space="preserve"> The signed R</w:t>
      </w:r>
      <w:r w:rsidR="00CD0842" w:rsidRPr="00CD0842">
        <w:t>2</w:t>
      </w:r>
      <w:r w:rsidR="00CD0842">
        <w:t xml:space="preserve"> and mean connectivity axes (y) correspond to graph metrics used in determining the scale-free topology of co-expression networks. The plotted numbers correspond to the set of tested soft-</w:t>
      </w:r>
      <w:proofErr w:type="spellStart"/>
      <w:r w:rsidR="00CD0842">
        <w:t>thresholding</w:t>
      </w:r>
      <w:proofErr w:type="spellEnd"/>
      <w:r w:rsidR="00CD0842">
        <w:t xml:space="preserve"> power values (x-axis). For details on graph metrics used for determining appropriate soft-</w:t>
      </w:r>
      <w:proofErr w:type="spellStart"/>
      <w:r w:rsidR="00CD0842">
        <w:t>thresholding</w:t>
      </w:r>
      <w:proofErr w:type="spellEnd"/>
      <w:r w:rsidR="00CD0842">
        <w:t xml:space="preserve"> powers</w:t>
      </w:r>
      <w:r w:rsidR="00281BBC">
        <w:t xml:space="preserve"> in WGCNA please see Zhang and Horvath, 2005</w:t>
      </w:r>
      <w:r w:rsidR="00281BBC">
        <w:fldChar w:fldCharType="begin"/>
      </w:r>
      <w:r w:rsidR="00281BBC">
        <w:instrText xml:space="preserve"> ADDIN ZOTERO_ITEM CSL_CITATION {"citationID":"M5GED0IG","properties":{"formattedCitation":"\\super 9\\nosupersub{}","plainCitation":"9","noteIndex":0},"citationItems":[{"id":5092,"uris":["http://zotero.org/users/687843/items/F8J2Y495"],"uri":["http://zotero.org/users/687843/items/F8J2Y495"],"itemData":{"id":5092,"type":"article-journal","abstract":"Gene co-expression networks are increasingly used to explore the system-level functionality of genes. The network construction is conceptually straightforward: nodes represent genes and nodes are connected if the corresponding genes are significantly co-expressed across appropriately chosen tissue samples. In reality, it is tricky to define the connections between the nodes in such networks. An important question is whether it is biologically meaningful to encode gene co-expression using binary information (connected=1, unconnected=0). We describe a general framework for ;soft' thresholding that assigns a connection weight to each gene pair. This leads us to define the notion of a weighted gene co-expression network. For soft thresholding we propose several adjacency functions that convert the co-expression measure to a connection weight. For determining the parameters of the adjacency function, we propose a biologically motivated criterion (referred to as the scale-free topology criterion). We generalize the following important network concepts to the case of weighted networks. First, we introduce several node connectivity measures and provide empirical evidence that they can be important for predicting the biological significance of a gene. Second, we provide theoretical and empirical evidence that the ;weighted' topological overlap measure (used to define gene modules) leads to more cohesive modules than its ;unweighted' counterpart. Third, we generalize the clustering coefficient to weighted networks. Unlike the unweighted clustering coefficient, the weighted clustering coefficient is not inversely related to the connectivity. We provide a model that shows how an inverse relationship between clustering coefficient and connectivity arises from hard thresholding. We apply our methods to simulated data, a cancer microarray data set, and a yeast microarray data set.","container-title":"Statistical Applications in Genetics and Molecular Biology","DOI":"10.2202/1544-6115.1128","ISSN":"1544-6115","journalAbbreviation":"Stat Appl Genet Mol Biol","language":"eng","note":"PMID: 16646834","page":"Article17","source":"PubMed","title":"A general framework for weighted gene co-expression network analysis","volume":"4","author":[{"family":"Zhang","given":"Bin"},{"family":"Horvath","given":"Steve"}],"issued":{"date-parts":[["2005"]]}}}],"schema":"https://github.com/citation-style-language/schema/raw/master/csl-citation.json"} </w:instrText>
      </w:r>
      <w:r w:rsidR="00281BBC">
        <w:fldChar w:fldCharType="separate"/>
      </w:r>
      <w:r w:rsidR="00281BBC" w:rsidRPr="00281BBC">
        <w:rPr>
          <w:rFonts w:cs="Times New Roman"/>
          <w:szCs w:val="24"/>
          <w:vertAlign w:val="superscript"/>
        </w:rPr>
        <w:t>9</w:t>
      </w:r>
      <w:r w:rsidR="00281BBC">
        <w:fldChar w:fldCharType="end"/>
      </w:r>
      <w:r w:rsidR="00281BBC">
        <w:t xml:space="preserve">. </w:t>
      </w:r>
      <w:r w:rsidR="00CD0842">
        <w:t xml:space="preserve"> </w:t>
      </w:r>
    </w:p>
    <w:p w:rsidR="007F60D8" w:rsidRDefault="007F60D8" w:rsidP="007F60D8">
      <w:pPr>
        <w:pStyle w:val="NoSpacing"/>
      </w:pPr>
    </w:p>
    <w:p w:rsidR="00FD5617" w:rsidRDefault="00FD5617">
      <w:pPr>
        <w:spacing w:after="160" w:line="259" w:lineRule="auto"/>
        <w:rPr>
          <w:rFonts w:asciiTheme="majorHAnsi" w:eastAsiaTheme="majorEastAsia" w:hAnsiTheme="majorHAnsi" w:cstheme="majorBidi"/>
          <w:color w:val="2F5496" w:themeColor="accent1" w:themeShade="BF"/>
          <w:sz w:val="26"/>
          <w:szCs w:val="26"/>
        </w:rPr>
      </w:pPr>
      <w:r>
        <w:br w:type="page"/>
      </w:r>
    </w:p>
    <w:p w:rsidR="00651237" w:rsidRDefault="00FD5617" w:rsidP="00FD5617">
      <w:pPr>
        <w:pStyle w:val="Heading2"/>
      </w:pPr>
      <w:bookmarkStart w:id="8" w:name="_Toc86156123"/>
      <w:r>
        <w:lastRenderedPageBreak/>
        <w:t>Supplementary References</w:t>
      </w:r>
      <w:bookmarkEnd w:id="8"/>
    </w:p>
    <w:p w:rsidR="00281BBC" w:rsidRPr="00281BBC" w:rsidRDefault="00FD5617" w:rsidP="00281BBC">
      <w:pPr>
        <w:pStyle w:val="Bibliography"/>
        <w:rPr>
          <w:rFonts w:ascii="Times New Roman" w:hAnsi="Times New Roman" w:cs="Times New Roman"/>
        </w:rPr>
      </w:pPr>
      <w:r>
        <w:fldChar w:fldCharType="begin"/>
      </w:r>
      <w:r>
        <w:instrText xml:space="preserve"> ADDIN ZOTERO_BIBL {"uncited":[],"omitted":[],"custom":[]} CSL_BIBLIOGRAPHY </w:instrText>
      </w:r>
      <w:r>
        <w:fldChar w:fldCharType="separate"/>
      </w:r>
      <w:r w:rsidR="00281BBC" w:rsidRPr="00281BBC">
        <w:rPr>
          <w:rFonts w:ascii="Times New Roman" w:hAnsi="Times New Roman" w:cs="Times New Roman"/>
        </w:rPr>
        <w:t>1.</w:t>
      </w:r>
      <w:r w:rsidR="00281BBC" w:rsidRPr="00281BBC">
        <w:rPr>
          <w:rFonts w:ascii="Times New Roman" w:hAnsi="Times New Roman" w:cs="Times New Roman"/>
        </w:rPr>
        <w:tab/>
      </w:r>
      <w:proofErr w:type="spellStart"/>
      <w:r w:rsidR="00281BBC" w:rsidRPr="00281BBC">
        <w:rPr>
          <w:rFonts w:ascii="Times New Roman" w:hAnsi="Times New Roman" w:cs="Times New Roman"/>
        </w:rPr>
        <w:t>Felsky</w:t>
      </w:r>
      <w:proofErr w:type="spellEnd"/>
      <w:r w:rsidR="00281BBC" w:rsidRPr="00281BBC">
        <w:rPr>
          <w:rFonts w:ascii="Times New Roman" w:hAnsi="Times New Roman" w:cs="Times New Roman"/>
        </w:rPr>
        <w:t xml:space="preserve">, D. </w:t>
      </w:r>
      <w:r w:rsidR="00281BBC" w:rsidRPr="00281BBC">
        <w:rPr>
          <w:rFonts w:ascii="Times New Roman" w:hAnsi="Times New Roman" w:cs="Times New Roman"/>
          <w:i/>
          <w:iCs/>
        </w:rPr>
        <w:t>et al.</w:t>
      </w:r>
      <w:r w:rsidR="00281BBC" w:rsidRPr="00281BBC">
        <w:rPr>
          <w:rFonts w:ascii="Times New Roman" w:hAnsi="Times New Roman" w:cs="Times New Roman"/>
        </w:rPr>
        <w:t xml:space="preserve"> Neuropathological correlates and genetic architecture of microglial activation in elderly human brain. </w:t>
      </w:r>
      <w:r w:rsidR="00281BBC" w:rsidRPr="00281BBC">
        <w:rPr>
          <w:rFonts w:ascii="Times New Roman" w:hAnsi="Times New Roman" w:cs="Times New Roman"/>
          <w:i/>
          <w:iCs/>
        </w:rPr>
        <w:t xml:space="preserve">Nat. </w:t>
      </w:r>
      <w:proofErr w:type="spellStart"/>
      <w:r w:rsidR="00281BBC" w:rsidRPr="00281BBC">
        <w:rPr>
          <w:rFonts w:ascii="Times New Roman" w:hAnsi="Times New Roman" w:cs="Times New Roman"/>
          <w:i/>
          <w:iCs/>
        </w:rPr>
        <w:t>Commun</w:t>
      </w:r>
      <w:proofErr w:type="spellEnd"/>
      <w:r w:rsidR="00281BBC" w:rsidRPr="00281BBC">
        <w:rPr>
          <w:rFonts w:ascii="Times New Roman" w:hAnsi="Times New Roman" w:cs="Times New Roman"/>
          <w:i/>
          <w:iCs/>
        </w:rPr>
        <w:t>.</w:t>
      </w:r>
      <w:r w:rsidR="00281BBC" w:rsidRPr="00281BBC">
        <w:rPr>
          <w:rFonts w:ascii="Times New Roman" w:hAnsi="Times New Roman" w:cs="Times New Roman"/>
        </w:rPr>
        <w:t xml:space="preserve"> </w:t>
      </w:r>
      <w:r w:rsidR="00281BBC" w:rsidRPr="00281BBC">
        <w:rPr>
          <w:rFonts w:ascii="Times New Roman" w:hAnsi="Times New Roman" w:cs="Times New Roman"/>
          <w:b/>
          <w:bCs/>
        </w:rPr>
        <w:t>10</w:t>
      </w:r>
      <w:r w:rsidR="00281BBC" w:rsidRPr="00281BBC">
        <w:rPr>
          <w:rFonts w:ascii="Times New Roman" w:hAnsi="Times New Roman" w:cs="Times New Roman"/>
        </w:rPr>
        <w:t>, 409 (2019).</w:t>
      </w:r>
    </w:p>
    <w:p w:rsidR="00281BBC" w:rsidRPr="00281BBC" w:rsidRDefault="00281BBC" w:rsidP="00281BBC">
      <w:pPr>
        <w:pStyle w:val="Bibliography"/>
        <w:rPr>
          <w:rFonts w:ascii="Times New Roman" w:hAnsi="Times New Roman" w:cs="Times New Roman"/>
        </w:rPr>
      </w:pPr>
      <w:r w:rsidRPr="00281BBC">
        <w:rPr>
          <w:rFonts w:ascii="Times New Roman" w:hAnsi="Times New Roman" w:cs="Times New Roman"/>
        </w:rPr>
        <w:t>2.</w:t>
      </w:r>
      <w:r w:rsidRPr="00281BBC">
        <w:rPr>
          <w:rFonts w:ascii="Times New Roman" w:hAnsi="Times New Roman" w:cs="Times New Roman"/>
        </w:rPr>
        <w:tab/>
        <w:t xml:space="preserve">Schneider, J. A., Wilson, R. S., </w:t>
      </w:r>
      <w:proofErr w:type="spellStart"/>
      <w:r w:rsidRPr="00281BBC">
        <w:rPr>
          <w:rFonts w:ascii="Times New Roman" w:hAnsi="Times New Roman" w:cs="Times New Roman"/>
        </w:rPr>
        <w:t>Bienias</w:t>
      </w:r>
      <w:proofErr w:type="spellEnd"/>
      <w:r w:rsidRPr="00281BBC">
        <w:rPr>
          <w:rFonts w:ascii="Times New Roman" w:hAnsi="Times New Roman" w:cs="Times New Roman"/>
        </w:rPr>
        <w:t xml:space="preserve">, J. L., Evans, D. A. &amp; Bennett, D. A. Cerebral infarctions and the likelihood of dementia from Alzheimer disease pathology. </w:t>
      </w:r>
      <w:r w:rsidRPr="00281BBC">
        <w:rPr>
          <w:rFonts w:ascii="Times New Roman" w:hAnsi="Times New Roman" w:cs="Times New Roman"/>
          <w:i/>
          <w:iCs/>
        </w:rPr>
        <w:t>Neurology</w:t>
      </w:r>
      <w:r w:rsidRPr="00281BBC">
        <w:rPr>
          <w:rFonts w:ascii="Times New Roman" w:hAnsi="Times New Roman" w:cs="Times New Roman"/>
        </w:rPr>
        <w:t xml:space="preserve"> </w:t>
      </w:r>
      <w:r w:rsidRPr="00281BBC">
        <w:rPr>
          <w:rFonts w:ascii="Times New Roman" w:hAnsi="Times New Roman" w:cs="Times New Roman"/>
          <w:b/>
          <w:bCs/>
        </w:rPr>
        <w:t>62</w:t>
      </w:r>
      <w:r w:rsidRPr="00281BBC">
        <w:rPr>
          <w:rFonts w:ascii="Times New Roman" w:hAnsi="Times New Roman" w:cs="Times New Roman"/>
        </w:rPr>
        <w:t>, 1148–1155 (2004).</w:t>
      </w:r>
    </w:p>
    <w:p w:rsidR="00281BBC" w:rsidRPr="00281BBC" w:rsidRDefault="00281BBC" w:rsidP="00281BBC">
      <w:pPr>
        <w:pStyle w:val="Bibliography"/>
        <w:rPr>
          <w:rFonts w:ascii="Times New Roman" w:hAnsi="Times New Roman" w:cs="Times New Roman"/>
        </w:rPr>
      </w:pPr>
      <w:r w:rsidRPr="00281BBC">
        <w:rPr>
          <w:rFonts w:ascii="Times New Roman" w:hAnsi="Times New Roman" w:cs="Times New Roman"/>
        </w:rPr>
        <w:t>3.</w:t>
      </w:r>
      <w:r w:rsidRPr="00281BBC">
        <w:rPr>
          <w:rFonts w:ascii="Times New Roman" w:hAnsi="Times New Roman" w:cs="Times New Roman"/>
        </w:rPr>
        <w:tab/>
        <w:t xml:space="preserve">Buchman, A. S. </w:t>
      </w:r>
      <w:r w:rsidRPr="00281BBC">
        <w:rPr>
          <w:rFonts w:ascii="Times New Roman" w:hAnsi="Times New Roman" w:cs="Times New Roman"/>
          <w:i/>
          <w:iCs/>
        </w:rPr>
        <w:t>et al.</w:t>
      </w:r>
      <w:r w:rsidRPr="00281BBC">
        <w:rPr>
          <w:rFonts w:ascii="Times New Roman" w:hAnsi="Times New Roman" w:cs="Times New Roman"/>
        </w:rPr>
        <w:t xml:space="preserve"> </w:t>
      </w:r>
      <w:proofErr w:type="spellStart"/>
      <w:r w:rsidRPr="00281BBC">
        <w:rPr>
          <w:rFonts w:ascii="Times New Roman" w:hAnsi="Times New Roman" w:cs="Times New Roman"/>
        </w:rPr>
        <w:t>Nigral</w:t>
      </w:r>
      <w:proofErr w:type="spellEnd"/>
      <w:r w:rsidRPr="00281BBC">
        <w:rPr>
          <w:rFonts w:ascii="Times New Roman" w:hAnsi="Times New Roman" w:cs="Times New Roman"/>
        </w:rPr>
        <w:t xml:space="preserve"> Pathology and Parkinsonian Signs in Elders without Parkinson’s Disease. </w:t>
      </w:r>
      <w:r w:rsidRPr="00281BBC">
        <w:rPr>
          <w:rFonts w:ascii="Times New Roman" w:hAnsi="Times New Roman" w:cs="Times New Roman"/>
          <w:i/>
          <w:iCs/>
        </w:rPr>
        <w:t>Ann. Neurol.</w:t>
      </w:r>
      <w:r w:rsidRPr="00281BBC">
        <w:rPr>
          <w:rFonts w:ascii="Times New Roman" w:hAnsi="Times New Roman" w:cs="Times New Roman"/>
        </w:rPr>
        <w:t xml:space="preserve"> </w:t>
      </w:r>
      <w:r w:rsidRPr="00281BBC">
        <w:rPr>
          <w:rFonts w:ascii="Times New Roman" w:hAnsi="Times New Roman" w:cs="Times New Roman"/>
          <w:b/>
          <w:bCs/>
        </w:rPr>
        <w:t>71</w:t>
      </w:r>
      <w:r w:rsidRPr="00281BBC">
        <w:rPr>
          <w:rFonts w:ascii="Times New Roman" w:hAnsi="Times New Roman" w:cs="Times New Roman"/>
        </w:rPr>
        <w:t>, 258–266 (2012).</w:t>
      </w:r>
    </w:p>
    <w:p w:rsidR="00281BBC" w:rsidRPr="00281BBC" w:rsidRDefault="00281BBC" w:rsidP="00281BBC">
      <w:pPr>
        <w:pStyle w:val="Bibliography"/>
        <w:rPr>
          <w:rFonts w:ascii="Times New Roman" w:hAnsi="Times New Roman" w:cs="Times New Roman"/>
        </w:rPr>
      </w:pPr>
      <w:r w:rsidRPr="00281BBC">
        <w:rPr>
          <w:rFonts w:ascii="Times New Roman" w:hAnsi="Times New Roman" w:cs="Times New Roman"/>
        </w:rPr>
        <w:t>4.</w:t>
      </w:r>
      <w:r w:rsidRPr="00281BBC">
        <w:rPr>
          <w:rFonts w:ascii="Times New Roman" w:hAnsi="Times New Roman" w:cs="Times New Roman"/>
        </w:rPr>
        <w:tab/>
        <w:t xml:space="preserve">Boyle, P. A. </w:t>
      </w:r>
      <w:r w:rsidRPr="00281BBC">
        <w:rPr>
          <w:rFonts w:ascii="Times New Roman" w:hAnsi="Times New Roman" w:cs="Times New Roman"/>
          <w:i/>
          <w:iCs/>
        </w:rPr>
        <w:t>et al.</w:t>
      </w:r>
      <w:r w:rsidRPr="00281BBC">
        <w:rPr>
          <w:rFonts w:ascii="Times New Roman" w:hAnsi="Times New Roman" w:cs="Times New Roman"/>
        </w:rPr>
        <w:t xml:space="preserve"> Cerebral amyloid </w:t>
      </w:r>
      <w:proofErr w:type="spellStart"/>
      <w:r w:rsidRPr="00281BBC">
        <w:rPr>
          <w:rFonts w:ascii="Times New Roman" w:hAnsi="Times New Roman" w:cs="Times New Roman"/>
        </w:rPr>
        <w:t>angiopathy</w:t>
      </w:r>
      <w:proofErr w:type="spellEnd"/>
      <w:r w:rsidRPr="00281BBC">
        <w:rPr>
          <w:rFonts w:ascii="Times New Roman" w:hAnsi="Times New Roman" w:cs="Times New Roman"/>
        </w:rPr>
        <w:t xml:space="preserve"> and cognitive outcomes in community-based older persons. </w:t>
      </w:r>
      <w:r w:rsidRPr="00281BBC">
        <w:rPr>
          <w:rFonts w:ascii="Times New Roman" w:hAnsi="Times New Roman" w:cs="Times New Roman"/>
          <w:i/>
          <w:iCs/>
        </w:rPr>
        <w:t>Neurology</w:t>
      </w:r>
      <w:r w:rsidRPr="00281BBC">
        <w:rPr>
          <w:rFonts w:ascii="Times New Roman" w:hAnsi="Times New Roman" w:cs="Times New Roman"/>
        </w:rPr>
        <w:t xml:space="preserve"> </w:t>
      </w:r>
      <w:r w:rsidRPr="00281BBC">
        <w:rPr>
          <w:rFonts w:ascii="Times New Roman" w:hAnsi="Times New Roman" w:cs="Times New Roman"/>
          <w:b/>
          <w:bCs/>
        </w:rPr>
        <w:t>85</w:t>
      </w:r>
      <w:r w:rsidRPr="00281BBC">
        <w:rPr>
          <w:rFonts w:ascii="Times New Roman" w:hAnsi="Times New Roman" w:cs="Times New Roman"/>
        </w:rPr>
        <w:t>, 1930–1936 (2015).</w:t>
      </w:r>
    </w:p>
    <w:p w:rsidR="00281BBC" w:rsidRPr="00281BBC" w:rsidRDefault="00281BBC" w:rsidP="00281BBC">
      <w:pPr>
        <w:pStyle w:val="Bibliography"/>
        <w:rPr>
          <w:rFonts w:ascii="Times New Roman" w:hAnsi="Times New Roman" w:cs="Times New Roman"/>
        </w:rPr>
      </w:pPr>
      <w:r w:rsidRPr="00281BBC">
        <w:rPr>
          <w:rFonts w:ascii="Times New Roman" w:hAnsi="Times New Roman" w:cs="Times New Roman"/>
        </w:rPr>
        <w:t>5.</w:t>
      </w:r>
      <w:r w:rsidRPr="00281BBC">
        <w:rPr>
          <w:rFonts w:ascii="Times New Roman" w:hAnsi="Times New Roman" w:cs="Times New Roman"/>
        </w:rPr>
        <w:tab/>
        <w:t xml:space="preserve">Yip, A. G. </w:t>
      </w:r>
      <w:r w:rsidRPr="00281BBC">
        <w:rPr>
          <w:rFonts w:ascii="Times New Roman" w:hAnsi="Times New Roman" w:cs="Times New Roman"/>
          <w:i/>
          <w:iCs/>
        </w:rPr>
        <w:t>et al.</w:t>
      </w:r>
      <w:r w:rsidRPr="00281BBC">
        <w:rPr>
          <w:rFonts w:ascii="Times New Roman" w:hAnsi="Times New Roman" w:cs="Times New Roman"/>
        </w:rPr>
        <w:t xml:space="preserve"> APOE, vascular pathology, and the AD brain. </w:t>
      </w:r>
      <w:r w:rsidRPr="00281BBC">
        <w:rPr>
          <w:rFonts w:ascii="Times New Roman" w:hAnsi="Times New Roman" w:cs="Times New Roman"/>
          <w:i/>
          <w:iCs/>
        </w:rPr>
        <w:t>Neurology</w:t>
      </w:r>
      <w:r w:rsidRPr="00281BBC">
        <w:rPr>
          <w:rFonts w:ascii="Times New Roman" w:hAnsi="Times New Roman" w:cs="Times New Roman"/>
        </w:rPr>
        <w:t xml:space="preserve"> </w:t>
      </w:r>
      <w:r w:rsidRPr="00281BBC">
        <w:rPr>
          <w:rFonts w:ascii="Times New Roman" w:hAnsi="Times New Roman" w:cs="Times New Roman"/>
          <w:b/>
          <w:bCs/>
        </w:rPr>
        <w:t>65</w:t>
      </w:r>
      <w:r w:rsidRPr="00281BBC">
        <w:rPr>
          <w:rFonts w:ascii="Times New Roman" w:hAnsi="Times New Roman" w:cs="Times New Roman"/>
        </w:rPr>
        <w:t>, 259–265 (2005).</w:t>
      </w:r>
    </w:p>
    <w:p w:rsidR="00281BBC" w:rsidRPr="00281BBC" w:rsidRDefault="00281BBC" w:rsidP="00281BBC">
      <w:pPr>
        <w:pStyle w:val="Bibliography"/>
        <w:rPr>
          <w:rFonts w:ascii="Times New Roman" w:hAnsi="Times New Roman" w:cs="Times New Roman"/>
        </w:rPr>
      </w:pPr>
      <w:r w:rsidRPr="00281BBC">
        <w:rPr>
          <w:rFonts w:ascii="Times New Roman" w:hAnsi="Times New Roman" w:cs="Times New Roman"/>
        </w:rPr>
        <w:t>6.</w:t>
      </w:r>
      <w:r w:rsidRPr="00281BBC">
        <w:rPr>
          <w:rFonts w:ascii="Times New Roman" w:hAnsi="Times New Roman" w:cs="Times New Roman"/>
        </w:rPr>
        <w:tab/>
        <w:t xml:space="preserve">Bennett, D. A. </w:t>
      </w:r>
      <w:r w:rsidRPr="00281BBC">
        <w:rPr>
          <w:rFonts w:ascii="Times New Roman" w:hAnsi="Times New Roman" w:cs="Times New Roman"/>
          <w:i/>
          <w:iCs/>
        </w:rPr>
        <w:t>et al.</w:t>
      </w:r>
      <w:r w:rsidRPr="00281BBC">
        <w:rPr>
          <w:rFonts w:ascii="Times New Roman" w:hAnsi="Times New Roman" w:cs="Times New Roman"/>
        </w:rPr>
        <w:t xml:space="preserve"> Neuropathology of older persons without cognitive impairment from two community-based studies. </w:t>
      </w:r>
      <w:r w:rsidRPr="00281BBC">
        <w:rPr>
          <w:rFonts w:ascii="Times New Roman" w:hAnsi="Times New Roman" w:cs="Times New Roman"/>
          <w:i/>
          <w:iCs/>
        </w:rPr>
        <w:t>Neurology</w:t>
      </w:r>
      <w:r w:rsidRPr="00281BBC">
        <w:rPr>
          <w:rFonts w:ascii="Times New Roman" w:hAnsi="Times New Roman" w:cs="Times New Roman"/>
        </w:rPr>
        <w:t xml:space="preserve"> </w:t>
      </w:r>
      <w:r w:rsidRPr="00281BBC">
        <w:rPr>
          <w:rFonts w:ascii="Times New Roman" w:hAnsi="Times New Roman" w:cs="Times New Roman"/>
          <w:b/>
          <w:bCs/>
        </w:rPr>
        <w:t>66</w:t>
      </w:r>
      <w:r w:rsidRPr="00281BBC">
        <w:rPr>
          <w:rFonts w:ascii="Times New Roman" w:hAnsi="Times New Roman" w:cs="Times New Roman"/>
        </w:rPr>
        <w:t>, 1837–1844 (2006).</w:t>
      </w:r>
    </w:p>
    <w:p w:rsidR="00281BBC" w:rsidRPr="00281BBC" w:rsidRDefault="00281BBC" w:rsidP="00281BBC">
      <w:pPr>
        <w:pStyle w:val="Bibliography"/>
        <w:rPr>
          <w:rFonts w:ascii="Times New Roman" w:hAnsi="Times New Roman" w:cs="Times New Roman"/>
        </w:rPr>
      </w:pPr>
      <w:r w:rsidRPr="00281BBC">
        <w:rPr>
          <w:rFonts w:ascii="Times New Roman" w:hAnsi="Times New Roman" w:cs="Times New Roman"/>
        </w:rPr>
        <w:t>7.</w:t>
      </w:r>
      <w:r w:rsidRPr="00281BBC">
        <w:rPr>
          <w:rFonts w:ascii="Times New Roman" w:hAnsi="Times New Roman" w:cs="Times New Roman"/>
        </w:rPr>
        <w:tab/>
        <w:t xml:space="preserve">Yu, L. </w:t>
      </w:r>
      <w:r w:rsidRPr="00281BBC">
        <w:rPr>
          <w:rFonts w:ascii="Times New Roman" w:hAnsi="Times New Roman" w:cs="Times New Roman"/>
          <w:i/>
          <w:iCs/>
        </w:rPr>
        <w:t>et al.</w:t>
      </w:r>
      <w:r w:rsidRPr="00281BBC">
        <w:rPr>
          <w:rFonts w:ascii="Times New Roman" w:hAnsi="Times New Roman" w:cs="Times New Roman"/>
        </w:rPr>
        <w:t xml:space="preserve"> The TMEM106B locus and TDP-43 pathology in older persons without FTLD. </w:t>
      </w:r>
      <w:r w:rsidRPr="00281BBC">
        <w:rPr>
          <w:rFonts w:ascii="Times New Roman" w:hAnsi="Times New Roman" w:cs="Times New Roman"/>
          <w:i/>
          <w:iCs/>
        </w:rPr>
        <w:t>Neurology</w:t>
      </w:r>
      <w:r w:rsidRPr="00281BBC">
        <w:rPr>
          <w:rFonts w:ascii="Times New Roman" w:hAnsi="Times New Roman" w:cs="Times New Roman"/>
        </w:rPr>
        <w:t xml:space="preserve"> </w:t>
      </w:r>
      <w:r w:rsidRPr="00281BBC">
        <w:rPr>
          <w:rFonts w:ascii="Times New Roman" w:hAnsi="Times New Roman" w:cs="Times New Roman"/>
          <w:b/>
          <w:bCs/>
        </w:rPr>
        <w:t>84</w:t>
      </w:r>
      <w:r w:rsidRPr="00281BBC">
        <w:rPr>
          <w:rFonts w:ascii="Times New Roman" w:hAnsi="Times New Roman" w:cs="Times New Roman"/>
        </w:rPr>
        <w:t>, 927–934 (2015).</w:t>
      </w:r>
    </w:p>
    <w:p w:rsidR="00281BBC" w:rsidRPr="00281BBC" w:rsidRDefault="00281BBC" w:rsidP="00281BBC">
      <w:pPr>
        <w:pStyle w:val="Bibliography"/>
        <w:rPr>
          <w:rFonts w:ascii="Times New Roman" w:hAnsi="Times New Roman" w:cs="Times New Roman"/>
        </w:rPr>
      </w:pPr>
      <w:r w:rsidRPr="00281BBC">
        <w:rPr>
          <w:rFonts w:ascii="Times New Roman" w:hAnsi="Times New Roman" w:cs="Times New Roman"/>
        </w:rPr>
        <w:t>8.</w:t>
      </w:r>
      <w:r w:rsidRPr="00281BBC">
        <w:rPr>
          <w:rFonts w:ascii="Times New Roman" w:hAnsi="Times New Roman" w:cs="Times New Roman"/>
        </w:rPr>
        <w:tab/>
        <w:t xml:space="preserve">Wilson, R. S. </w:t>
      </w:r>
      <w:r w:rsidRPr="00281BBC">
        <w:rPr>
          <w:rFonts w:ascii="Times New Roman" w:hAnsi="Times New Roman" w:cs="Times New Roman"/>
          <w:i/>
          <w:iCs/>
        </w:rPr>
        <w:t>et al.</w:t>
      </w:r>
      <w:r w:rsidRPr="00281BBC">
        <w:rPr>
          <w:rFonts w:ascii="Times New Roman" w:hAnsi="Times New Roman" w:cs="Times New Roman"/>
        </w:rPr>
        <w:t xml:space="preserve"> TDP-43 Pathology, Cognitive Decline, and Dementia in Old Age. </w:t>
      </w:r>
      <w:r w:rsidRPr="00281BBC">
        <w:rPr>
          <w:rFonts w:ascii="Times New Roman" w:hAnsi="Times New Roman" w:cs="Times New Roman"/>
          <w:i/>
          <w:iCs/>
        </w:rPr>
        <w:t>JAMA Neurol.</w:t>
      </w:r>
      <w:r w:rsidRPr="00281BBC">
        <w:rPr>
          <w:rFonts w:ascii="Times New Roman" w:hAnsi="Times New Roman" w:cs="Times New Roman"/>
        </w:rPr>
        <w:t xml:space="preserve"> </w:t>
      </w:r>
      <w:r w:rsidRPr="00281BBC">
        <w:rPr>
          <w:rFonts w:ascii="Times New Roman" w:hAnsi="Times New Roman" w:cs="Times New Roman"/>
          <w:b/>
          <w:bCs/>
        </w:rPr>
        <w:t>70</w:t>
      </w:r>
      <w:r w:rsidRPr="00281BBC">
        <w:rPr>
          <w:rFonts w:ascii="Times New Roman" w:hAnsi="Times New Roman" w:cs="Times New Roman"/>
        </w:rPr>
        <w:t>, 1418–1424 (2013).</w:t>
      </w:r>
    </w:p>
    <w:p w:rsidR="00281BBC" w:rsidRPr="00281BBC" w:rsidRDefault="00281BBC" w:rsidP="00281BBC">
      <w:pPr>
        <w:pStyle w:val="Bibliography"/>
        <w:rPr>
          <w:rFonts w:ascii="Times New Roman" w:hAnsi="Times New Roman" w:cs="Times New Roman"/>
        </w:rPr>
      </w:pPr>
      <w:r w:rsidRPr="00281BBC">
        <w:rPr>
          <w:rFonts w:ascii="Times New Roman" w:hAnsi="Times New Roman" w:cs="Times New Roman"/>
        </w:rPr>
        <w:t>9.</w:t>
      </w:r>
      <w:r w:rsidRPr="00281BBC">
        <w:rPr>
          <w:rFonts w:ascii="Times New Roman" w:hAnsi="Times New Roman" w:cs="Times New Roman"/>
        </w:rPr>
        <w:tab/>
        <w:t xml:space="preserve">Zhang, B. &amp; Horvath, S. A general framework for weighted gene co-expression network analysis. </w:t>
      </w:r>
      <w:r w:rsidRPr="00281BBC">
        <w:rPr>
          <w:rFonts w:ascii="Times New Roman" w:hAnsi="Times New Roman" w:cs="Times New Roman"/>
          <w:i/>
          <w:iCs/>
        </w:rPr>
        <w:t>Stat. Appl. Genet. Mol. Biol.</w:t>
      </w:r>
      <w:r w:rsidRPr="00281BBC">
        <w:rPr>
          <w:rFonts w:ascii="Times New Roman" w:hAnsi="Times New Roman" w:cs="Times New Roman"/>
        </w:rPr>
        <w:t xml:space="preserve"> </w:t>
      </w:r>
      <w:r w:rsidRPr="00281BBC">
        <w:rPr>
          <w:rFonts w:ascii="Times New Roman" w:hAnsi="Times New Roman" w:cs="Times New Roman"/>
          <w:b/>
          <w:bCs/>
        </w:rPr>
        <w:t>4</w:t>
      </w:r>
      <w:r w:rsidRPr="00281BBC">
        <w:rPr>
          <w:rFonts w:ascii="Times New Roman" w:hAnsi="Times New Roman" w:cs="Times New Roman"/>
        </w:rPr>
        <w:t>, Article17 (2005).</w:t>
      </w:r>
    </w:p>
    <w:p w:rsidR="003A53B3" w:rsidRDefault="00FD5617" w:rsidP="00FD5617">
      <w:pPr>
        <w:pStyle w:val="NoSpacing"/>
      </w:pPr>
      <w:r>
        <w:fldChar w:fldCharType="end"/>
      </w:r>
    </w:p>
    <w:p w:rsidR="003A53B3" w:rsidRDefault="003A53B3">
      <w:pPr>
        <w:spacing w:after="160" w:line="259" w:lineRule="auto"/>
        <w:rPr>
          <w:rFonts w:ascii="Times New Roman" w:hAnsi="Times New Roman"/>
          <w:szCs w:val="22"/>
        </w:rPr>
      </w:pPr>
      <w:r>
        <w:br w:type="page"/>
      </w:r>
    </w:p>
    <w:p w:rsidR="00FD5617" w:rsidRPr="00FD5617" w:rsidRDefault="00FD5617" w:rsidP="00FD5617">
      <w:pPr>
        <w:pStyle w:val="NoSpacing"/>
      </w:pPr>
    </w:p>
    <w:p w:rsidR="00651237" w:rsidRDefault="00754D88" w:rsidP="00651237">
      <w:pPr>
        <w:pStyle w:val="NoSpacing"/>
        <w:keepNext/>
      </w:pPr>
      <w:r>
        <w:rPr>
          <w:noProof/>
        </w:rPr>
        <w:drawing>
          <wp:inline distT="0" distB="0" distL="0" distR="0" wp14:anchorId="2F190108" wp14:editId="6D4958E2">
            <wp:extent cx="6857438" cy="486473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Fig1_myeloidlandscape_scatterpi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57438" cy="4864735"/>
                    </a:xfrm>
                    <a:prstGeom prst="rect">
                      <a:avLst/>
                    </a:prstGeom>
                  </pic:spPr>
                </pic:pic>
              </a:graphicData>
            </a:graphic>
          </wp:inline>
        </w:drawing>
      </w:r>
    </w:p>
    <w:p w:rsidR="00651237" w:rsidRDefault="00651237" w:rsidP="00651237">
      <w:pPr>
        <w:pStyle w:val="Caption"/>
      </w:pPr>
      <w:bookmarkStart w:id="9" w:name="_Toc86148826"/>
      <w:bookmarkStart w:id="10" w:name="_Toc86156124"/>
      <w:r w:rsidRPr="00D52D41">
        <w:t xml:space="preserve">Supplementary Figure </w:t>
      </w:r>
      <w:r w:rsidR="000427B3">
        <w:fldChar w:fldCharType="begin"/>
      </w:r>
      <w:r w:rsidR="000427B3">
        <w:instrText xml:space="preserve"> SEQ Supplementary_Figure \* ARABIC </w:instrText>
      </w:r>
      <w:r w:rsidR="000427B3">
        <w:fldChar w:fldCharType="separate"/>
      </w:r>
      <w:r w:rsidR="000427B3">
        <w:rPr>
          <w:noProof/>
        </w:rPr>
        <w:t>1</w:t>
      </w:r>
      <w:bookmarkEnd w:id="9"/>
      <w:r w:rsidR="000427B3">
        <w:rPr>
          <w:noProof/>
        </w:rPr>
        <w:fldChar w:fldCharType="end"/>
      </w:r>
      <w:bookmarkEnd w:id="10"/>
    </w:p>
    <w:p w:rsidR="00651237" w:rsidRDefault="00230C91" w:rsidP="00651237">
      <w:pPr>
        <w:pStyle w:val="NoSpacing"/>
        <w:keepNext/>
      </w:pPr>
      <w:r>
        <w:rPr>
          <w:noProof/>
        </w:rPr>
        <w:lastRenderedPageBreak/>
        <w:drawing>
          <wp:inline distT="0" distB="0" distL="0" distR="0" wp14:anchorId="2F0278A8" wp14:editId="0CDB949C">
            <wp:extent cx="5414963" cy="807938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Fig2_TWAS_results_enrichment_GSEA_onlytopNES2_heatmap.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16972" cy="8082387"/>
                    </a:xfrm>
                    <a:prstGeom prst="rect">
                      <a:avLst/>
                    </a:prstGeom>
                  </pic:spPr>
                </pic:pic>
              </a:graphicData>
            </a:graphic>
          </wp:inline>
        </w:drawing>
      </w:r>
    </w:p>
    <w:p w:rsidR="006D06ED" w:rsidRDefault="00651237" w:rsidP="00651237">
      <w:pPr>
        <w:pStyle w:val="Caption"/>
      </w:pPr>
      <w:bookmarkStart w:id="11" w:name="_Toc86148827"/>
      <w:bookmarkStart w:id="12" w:name="_Toc86156125"/>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2</w:t>
      </w:r>
      <w:bookmarkEnd w:id="11"/>
      <w:bookmarkEnd w:id="12"/>
      <w:r w:rsidR="000427B3">
        <w:rPr>
          <w:noProof/>
        </w:rPr>
        <w:fldChar w:fldCharType="end"/>
      </w:r>
    </w:p>
    <w:p w:rsidR="003A53B3" w:rsidRDefault="003A53B3">
      <w:pPr>
        <w:spacing w:after="160" w:line="259" w:lineRule="auto"/>
        <w:rPr>
          <w:rFonts w:ascii="Times New Roman" w:hAnsi="Times New Roman"/>
          <w:szCs w:val="22"/>
        </w:rPr>
      </w:pPr>
      <w:r>
        <w:br w:type="page"/>
      </w:r>
    </w:p>
    <w:p w:rsidR="0069124F" w:rsidRDefault="0069124F" w:rsidP="006D06ED">
      <w:pPr>
        <w:pStyle w:val="NoSpacing"/>
      </w:pPr>
    </w:p>
    <w:p w:rsidR="00651237" w:rsidRDefault="0069124F" w:rsidP="00651237">
      <w:pPr>
        <w:pStyle w:val="NoSpacing"/>
        <w:keepNext/>
      </w:pPr>
      <w:r>
        <w:rPr>
          <w:noProof/>
        </w:rPr>
        <w:drawing>
          <wp:inline distT="0" distB="0" distL="0" distR="0" wp14:anchorId="4F6F623A" wp14:editId="7F18249B">
            <wp:extent cx="6337299" cy="2376487"/>
            <wp:effectExtent l="0" t="0" r="6985"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Fig3_overlap_heatmap.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45660" cy="2379622"/>
                    </a:xfrm>
                    <a:prstGeom prst="rect">
                      <a:avLst/>
                    </a:prstGeom>
                  </pic:spPr>
                </pic:pic>
              </a:graphicData>
            </a:graphic>
          </wp:inline>
        </w:drawing>
      </w:r>
    </w:p>
    <w:p w:rsidR="0069124F" w:rsidRDefault="00651237" w:rsidP="00651237">
      <w:pPr>
        <w:pStyle w:val="Caption"/>
      </w:pPr>
      <w:bookmarkStart w:id="13" w:name="_Toc86148828"/>
      <w:bookmarkStart w:id="14" w:name="_Toc86156126"/>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3</w:t>
      </w:r>
      <w:bookmarkEnd w:id="13"/>
      <w:bookmarkEnd w:id="14"/>
      <w:r w:rsidR="000427B3">
        <w:rPr>
          <w:noProof/>
        </w:rPr>
        <w:fldChar w:fldCharType="end"/>
      </w:r>
    </w:p>
    <w:p w:rsidR="003A53B3" w:rsidRDefault="003A53B3">
      <w:pPr>
        <w:spacing w:after="160" w:line="259" w:lineRule="auto"/>
        <w:rPr>
          <w:rFonts w:ascii="Times New Roman" w:hAnsi="Times New Roman"/>
          <w:szCs w:val="22"/>
        </w:rPr>
      </w:pPr>
      <w:r>
        <w:br w:type="page"/>
      </w:r>
    </w:p>
    <w:p w:rsidR="00651237" w:rsidRDefault="009A392D" w:rsidP="00651237">
      <w:pPr>
        <w:pStyle w:val="NoSpacing"/>
        <w:keepNext/>
      </w:pPr>
      <w:r>
        <w:rPr>
          <w:noProof/>
        </w:rPr>
        <w:lastRenderedPageBreak/>
        <w:drawing>
          <wp:inline distT="0" distB="0" distL="0" distR="0" wp14:anchorId="5C4150D5" wp14:editId="50C6E567">
            <wp:extent cx="6534801" cy="3267400"/>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Fig3_module-trait_lackofassociation_PC1_tstat_correlation_plots_MFPAM_NFT.tif"/>
                    <pic:cNvPicPr/>
                  </pic:nvPicPr>
                  <pic:blipFill>
                    <a:blip r:embed="rId8">
                      <a:extLst>
                        <a:ext uri="{28A0092B-C50C-407E-A947-70E740481C1C}">
                          <a14:useLocalDpi xmlns:a14="http://schemas.microsoft.com/office/drawing/2010/main" val="0"/>
                        </a:ext>
                      </a:extLst>
                    </a:blip>
                    <a:stretch>
                      <a:fillRect/>
                    </a:stretch>
                  </pic:blipFill>
                  <pic:spPr>
                    <a:xfrm>
                      <a:off x="0" y="0"/>
                      <a:ext cx="6534801" cy="3267400"/>
                    </a:xfrm>
                    <a:prstGeom prst="rect">
                      <a:avLst/>
                    </a:prstGeom>
                  </pic:spPr>
                </pic:pic>
              </a:graphicData>
            </a:graphic>
          </wp:inline>
        </w:drawing>
      </w:r>
    </w:p>
    <w:p w:rsidR="009A392D" w:rsidRDefault="00651237" w:rsidP="00651237">
      <w:pPr>
        <w:pStyle w:val="Caption"/>
      </w:pPr>
      <w:bookmarkStart w:id="15" w:name="_Toc86148829"/>
      <w:bookmarkStart w:id="16" w:name="_Toc86156127"/>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4</w:t>
      </w:r>
      <w:bookmarkEnd w:id="15"/>
      <w:bookmarkEnd w:id="16"/>
      <w:r w:rsidR="000427B3">
        <w:rPr>
          <w:noProof/>
        </w:rPr>
        <w:fldChar w:fldCharType="end"/>
      </w:r>
    </w:p>
    <w:p w:rsidR="00651237" w:rsidRDefault="00E546E9" w:rsidP="00651237">
      <w:pPr>
        <w:pStyle w:val="NoSpacing"/>
        <w:keepNext/>
      </w:pPr>
      <w:r>
        <w:rPr>
          <w:noProof/>
        </w:rPr>
        <w:lastRenderedPageBreak/>
        <w:drawing>
          <wp:inline distT="0" distB="0" distL="0" distR="0" wp14:anchorId="795B7B14" wp14:editId="458DA63A">
            <wp:extent cx="5943600" cy="594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Fig5_monocyte_covariate_correlations.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651237" w:rsidRDefault="00651237" w:rsidP="00651237">
      <w:pPr>
        <w:pStyle w:val="Caption"/>
      </w:pPr>
      <w:bookmarkStart w:id="17" w:name="_Toc86148830"/>
      <w:bookmarkStart w:id="18" w:name="_Toc86156128"/>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5</w:t>
      </w:r>
      <w:bookmarkEnd w:id="17"/>
      <w:bookmarkEnd w:id="18"/>
      <w:r w:rsidR="000427B3">
        <w:rPr>
          <w:noProof/>
        </w:rPr>
        <w:fldChar w:fldCharType="end"/>
      </w:r>
    </w:p>
    <w:p w:rsidR="00651237" w:rsidRDefault="00E546E9" w:rsidP="00651237">
      <w:pPr>
        <w:pStyle w:val="NoSpacing"/>
        <w:keepNext/>
      </w:pPr>
      <w:r>
        <w:rPr>
          <w:noProof/>
        </w:rPr>
        <w:lastRenderedPageBreak/>
        <w:drawing>
          <wp:inline distT="0" distB="0" distL="0" distR="0" wp14:anchorId="662ED190" wp14:editId="2D2A80FE">
            <wp:extent cx="5943600" cy="5943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Fig6_DLPFC_covariate_correlations.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651237" w:rsidRDefault="00651237" w:rsidP="00651237">
      <w:pPr>
        <w:pStyle w:val="Caption"/>
      </w:pPr>
      <w:bookmarkStart w:id="19" w:name="_Toc86148831"/>
      <w:bookmarkStart w:id="20" w:name="_Toc86156129"/>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6</w:t>
      </w:r>
      <w:bookmarkEnd w:id="19"/>
      <w:bookmarkEnd w:id="20"/>
      <w:r w:rsidR="000427B3">
        <w:rPr>
          <w:noProof/>
        </w:rPr>
        <w:fldChar w:fldCharType="end"/>
      </w:r>
    </w:p>
    <w:p w:rsidR="00651237" w:rsidRDefault="00E546E9" w:rsidP="00651237">
      <w:pPr>
        <w:pStyle w:val="NoSpacing"/>
        <w:keepNext/>
      </w:pPr>
      <w:r>
        <w:rPr>
          <w:noProof/>
        </w:rPr>
        <w:lastRenderedPageBreak/>
        <w:drawing>
          <wp:inline distT="0" distB="0" distL="0" distR="0" wp14:anchorId="52A35788" wp14:editId="5F61CC47">
            <wp:extent cx="5943600" cy="5943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Fig7_monocyte_covariate_PC_effects.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651237" w:rsidRDefault="00651237" w:rsidP="00651237">
      <w:pPr>
        <w:pStyle w:val="Caption"/>
      </w:pPr>
      <w:bookmarkStart w:id="21" w:name="_Toc86148832"/>
      <w:bookmarkStart w:id="22" w:name="_Toc86156130"/>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7</w:t>
      </w:r>
      <w:bookmarkEnd w:id="21"/>
      <w:bookmarkEnd w:id="22"/>
      <w:r w:rsidR="000427B3">
        <w:rPr>
          <w:noProof/>
        </w:rPr>
        <w:fldChar w:fldCharType="end"/>
      </w:r>
    </w:p>
    <w:p w:rsidR="00651237" w:rsidRDefault="00E546E9" w:rsidP="00651237">
      <w:pPr>
        <w:pStyle w:val="NoSpacing"/>
        <w:keepNext/>
      </w:pPr>
      <w:r>
        <w:rPr>
          <w:noProof/>
        </w:rPr>
        <w:lastRenderedPageBreak/>
        <w:drawing>
          <wp:inline distT="0" distB="0" distL="0" distR="0" wp14:anchorId="45E6B1C2" wp14:editId="3E3E43E2">
            <wp:extent cx="5943600" cy="5943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Fig8_DLPFC_covariate_PC_effects.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651237" w:rsidRDefault="00651237" w:rsidP="00651237">
      <w:pPr>
        <w:pStyle w:val="Caption"/>
      </w:pPr>
      <w:bookmarkStart w:id="23" w:name="_Toc86148833"/>
      <w:bookmarkStart w:id="24" w:name="_Toc86156131"/>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8</w:t>
      </w:r>
      <w:bookmarkEnd w:id="23"/>
      <w:bookmarkEnd w:id="24"/>
      <w:r w:rsidR="000427B3">
        <w:rPr>
          <w:noProof/>
        </w:rPr>
        <w:fldChar w:fldCharType="end"/>
      </w:r>
    </w:p>
    <w:p w:rsidR="00651237" w:rsidRDefault="005436CB" w:rsidP="00651237">
      <w:pPr>
        <w:pStyle w:val="NoSpacing"/>
        <w:keepNext/>
      </w:pPr>
      <w:r>
        <w:rPr>
          <w:noProof/>
        </w:rPr>
        <w:lastRenderedPageBreak/>
        <w:drawing>
          <wp:inline distT="0" distB="0" distL="0" distR="0" wp14:anchorId="75BEF7DC" wp14:editId="3A37AD0E">
            <wp:extent cx="5943600" cy="52120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Fig9_subject_dendrogram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212080"/>
                    </a:xfrm>
                    <a:prstGeom prst="rect">
                      <a:avLst/>
                    </a:prstGeom>
                  </pic:spPr>
                </pic:pic>
              </a:graphicData>
            </a:graphic>
          </wp:inline>
        </w:drawing>
      </w:r>
    </w:p>
    <w:p w:rsidR="005436CB" w:rsidRDefault="00651237" w:rsidP="00651237">
      <w:pPr>
        <w:pStyle w:val="Caption"/>
      </w:pPr>
      <w:bookmarkStart w:id="25" w:name="_Toc86148834"/>
      <w:bookmarkStart w:id="26" w:name="_Toc86156132"/>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9</w:t>
      </w:r>
      <w:bookmarkEnd w:id="25"/>
      <w:bookmarkEnd w:id="26"/>
      <w:r w:rsidR="000427B3">
        <w:rPr>
          <w:noProof/>
        </w:rPr>
        <w:fldChar w:fldCharType="end"/>
      </w:r>
    </w:p>
    <w:p w:rsidR="00651237" w:rsidRDefault="00E546E9" w:rsidP="00651237">
      <w:pPr>
        <w:pStyle w:val="NoSpacing"/>
        <w:keepNext/>
      </w:pPr>
      <w:r>
        <w:rPr>
          <w:noProof/>
        </w:rPr>
        <w:lastRenderedPageBreak/>
        <w:drawing>
          <wp:inline distT="0" distB="0" distL="0" distR="0" wp14:anchorId="04F6CEED" wp14:editId="0B6D0F9A">
            <wp:extent cx="5943600" cy="588899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Fig10_WGCNA_powerstudies.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888990"/>
                    </a:xfrm>
                    <a:prstGeom prst="rect">
                      <a:avLst/>
                    </a:prstGeom>
                  </pic:spPr>
                </pic:pic>
              </a:graphicData>
            </a:graphic>
          </wp:inline>
        </w:drawing>
      </w:r>
    </w:p>
    <w:p w:rsidR="00E546E9" w:rsidRDefault="00651237" w:rsidP="00651237">
      <w:pPr>
        <w:pStyle w:val="Caption"/>
      </w:pPr>
      <w:bookmarkStart w:id="27" w:name="_Toc86148835"/>
      <w:bookmarkStart w:id="28" w:name="_Toc86156133"/>
      <w:r>
        <w:t xml:space="preserve">Supplementary Figure </w:t>
      </w:r>
      <w:r w:rsidR="000427B3">
        <w:fldChar w:fldCharType="begin"/>
      </w:r>
      <w:r w:rsidR="000427B3">
        <w:instrText xml:space="preserve"> SEQ Supplementary_Figure \* ARABIC </w:instrText>
      </w:r>
      <w:r w:rsidR="000427B3">
        <w:fldChar w:fldCharType="separate"/>
      </w:r>
      <w:r w:rsidR="000427B3">
        <w:rPr>
          <w:noProof/>
        </w:rPr>
        <w:t>10</w:t>
      </w:r>
      <w:bookmarkEnd w:id="27"/>
      <w:bookmarkEnd w:id="28"/>
      <w:r w:rsidR="000427B3">
        <w:rPr>
          <w:noProof/>
        </w:rPr>
        <w:fldChar w:fldCharType="end"/>
      </w:r>
    </w:p>
    <w:sectPr w:rsidR="00E546E9" w:rsidSect="001355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6ED"/>
    <w:rsid w:val="00000B6B"/>
    <w:rsid w:val="00035FE7"/>
    <w:rsid w:val="000427B3"/>
    <w:rsid w:val="000A62E6"/>
    <w:rsid w:val="000C54F0"/>
    <w:rsid w:val="000D55D4"/>
    <w:rsid w:val="00120611"/>
    <w:rsid w:val="00135503"/>
    <w:rsid w:val="001428B2"/>
    <w:rsid w:val="00162105"/>
    <w:rsid w:val="001C7529"/>
    <w:rsid w:val="001C7C33"/>
    <w:rsid w:val="00230C91"/>
    <w:rsid w:val="00245E45"/>
    <w:rsid w:val="002558A6"/>
    <w:rsid w:val="00264143"/>
    <w:rsid w:val="00281BBC"/>
    <w:rsid w:val="002F058C"/>
    <w:rsid w:val="0036228B"/>
    <w:rsid w:val="00367183"/>
    <w:rsid w:val="003A53B3"/>
    <w:rsid w:val="003B4B60"/>
    <w:rsid w:val="003C4853"/>
    <w:rsid w:val="003D10C9"/>
    <w:rsid w:val="003E73AA"/>
    <w:rsid w:val="003E7833"/>
    <w:rsid w:val="003F18F3"/>
    <w:rsid w:val="00421EBF"/>
    <w:rsid w:val="0042258F"/>
    <w:rsid w:val="00475944"/>
    <w:rsid w:val="004C2C79"/>
    <w:rsid w:val="00502633"/>
    <w:rsid w:val="00504C3E"/>
    <w:rsid w:val="0050538D"/>
    <w:rsid w:val="00543105"/>
    <w:rsid w:val="005436CB"/>
    <w:rsid w:val="00566CD5"/>
    <w:rsid w:val="005978E0"/>
    <w:rsid w:val="005C1DB3"/>
    <w:rsid w:val="005C3A94"/>
    <w:rsid w:val="005C4602"/>
    <w:rsid w:val="0060552B"/>
    <w:rsid w:val="00651237"/>
    <w:rsid w:val="0066778B"/>
    <w:rsid w:val="0068032B"/>
    <w:rsid w:val="006819AF"/>
    <w:rsid w:val="0069124F"/>
    <w:rsid w:val="006D06ED"/>
    <w:rsid w:val="006E3C6D"/>
    <w:rsid w:val="006E58E3"/>
    <w:rsid w:val="00705209"/>
    <w:rsid w:val="00730A92"/>
    <w:rsid w:val="00754D88"/>
    <w:rsid w:val="00776124"/>
    <w:rsid w:val="00787976"/>
    <w:rsid w:val="007F3E51"/>
    <w:rsid w:val="007F60D8"/>
    <w:rsid w:val="0080694D"/>
    <w:rsid w:val="008320AA"/>
    <w:rsid w:val="0085065C"/>
    <w:rsid w:val="00854139"/>
    <w:rsid w:val="00860034"/>
    <w:rsid w:val="0086605B"/>
    <w:rsid w:val="008A227D"/>
    <w:rsid w:val="008E340A"/>
    <w:rsid w:val="0090183F"/>
    <w:rsid w:val="00977454"/>
    <w:rsid w:val="0099528F"/>
    <w:rsid w:val="009A392D"/>
    <w:rsid w:val="00A03C2E"/>
    <w:rsid w:val="00A634E4"/>
    <w:rsid w:val="00A6574E"/>
    <w:rsid w:val="00A84099"/>
    <w:rsid w:val="00AC6404"/>
    <w:rsid w:val="00B05F60"/>
    <w:rsid w:val="00B26816"/>
    <w:rsid w:val="00B4180F"/>
    <w:rsid w:val="00B5607C"/>
    <w:rsid w:val="00BA4497"/>
    <w:rsid w:val="00BD0468"/>
    <w:rsid w:val="00C713CA"/>
    <w:rsid w:val="00C82B28"/>
    <w:rsid w:val="00CD0842"/>
    <w:rsid w:val="00D436A5"/>
    <w:rsid w:val="00D45FE4"/>
    <w:rsid w:val="00D52D41"/>
    <w:rsid w:val="00DA02A6"/>
    <w:rsid w:val="00DD7A28"/>
    <w:rsid w:val="00DF5167"/>
    <w:rsid w:val="00E546E9"/>
    <w:rsid w:val="00EB2DB9"/>
    <w:rsid w:val="00ED0F17"/>
    <w:rsid w:val="00F13CE1"/>
    <w:rsid w:val="00F1471D"/>
    <w:rsid w:val="00F6573E"/>
    <w:rsid w:val="00FA79B9"/>
    <w:rsid w:val="00FC28A6"/>
    <w:rsid w:val="00FD5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79E62B"/>
  <w15:chartTrackingRefBased/>
  <w15:docId w15:val="{7720CF66-15BA-4082-800E-1A544AC8F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06ED"/>
    <w:pPr>
      <w:spacing w:after="0" w:line="240" w:lineRule="auto"/>
    </w:pPr>
    <w:rPr>
      <w:sz w:val="24"/>
      <w:szCs w:val="24"/>
    </w:rPr>
  </w:style>
  <w:style w:type="paragraph" w:styleId="Heading1">
    <w:name w:val="heading 1"/>
    <w:basedOn w:val="Normal"/>
    <w:next w:val="Normal"/>
    <w:link w:val="Heading1Char"/>
    <w:uiPriority w:val="9"/>
    <w:qFormat/>
    <w:rsid w:val="006D06E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D06E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6605B"/>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06ED"/>
    <w:pPr>
      <w:spacing w:after="0" w:line="240" w:lineRule="auto"/>
    </w:pPr>
    <w:rPr>
      <w:rFonts w:ascii="Times New Roman" w:hAnsi="Times New Roman"/>
      <w:sz w:val="24"/>
    </w:rPr>
  </w:style>
  <w:style w:type="character" w:customStyle="1" w:styleId="Heading2Char">
    <w:name w:val="Heading 2 Char"/>
    <w:basedOn w:val="DefaultParagraphFont"/>
    <w:link w:val="Heading2"/>
    <w:uiPriority w:val="9"/>
    <w:rsid w:val="006D06ED"/>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6D06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86605B"/>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C713CA"/>
    <w:pPr>
      <w:spacing w:line="259" w:lineRule="auto"/>
      <w:outlineLvl w:val="9"/>
    </w:pPr>
  </w:style>
  <w:style w:type="paragraph" w:styleId="TOC1">
    <w:name w:val="toc 1"/>
    <w:basedOn w:val="Normal"/>
    <w:next w:val="Normal"/>
    <w:autoRedefine/>
    <w:uiPriority w:val="39"/>
    <w:unhideWhenUsed/>
    <w:rsid w:val="00C713CA"/>
    <w:pPr>
      <w:spacing w:after="100"/>
    </w:pPr>
  </w:style>
  <w:style w:type="paragraph" w:styleId="TOC2">
    <w:name w:val="toc 2"/>
    <w:basedOn w:val="Normal"/>
    <w:next w:val="Normal"/>
    <w:autoRedefine/>
    <w:uiPriority w:val="39"/>
    <w:unhideWhenUsed/>
    <w:rsid w:val="00C713CA"/>
    <w:pPr>
      <w:spacing w:after="100"/>
      <w:ind w:left="240"/>
    </w:pPr>
  </w:style>
  <w:style w:type="character" w:styleId="Hyperlink">
    <w:name w:val="Hyperlink"/>
    <w:basedOn w:val="DefaultParagraphFont"/>
    <w:uiPriority w:val="99"/>
    <w:unhideWhenUsed/>
    <w:rsid w:val="00C713CA"/>
    <w:rPr>
      <w:color w:val="0563C1" w:themeColor="hyperlink"/>
      <w:u w:val="single"/>
    </w:rPr>
  </w:style>
  <w:style w:type="paragraph" w:styleId="Caption">
    <w:name w:val="caption"/>
    <w:basedOn w:val="Normal"/>
    <w:next w:val="Normal"/>
    <w:uiPriority w:val="35"/>
    <w:unhideWhenUsed/>
    <w:qFormat/>
    <w:rsid w:val="00651237"/>
    <w:pPr>
      <w:spacing w:after="200"/>
    </w:pPr>
    <w:rPr>
      <w:i/>
      <w:iCs/>
      <w:color w:val="44546A" w:themeColor="text2"/>
      <w:sz w:val="18"/>
      <w:szCs w:val="18"/>
    </w:rPr>
  </w:style>
  <w:style w:type="paragraph" w:styleId="TableofFigures">
    <w:name w:val="table of figures"/>
    <w:basedOn w:val="Normal"/>
    <w:next w:val="Normal"/>
    <w:uiPriority w:val="99"/>
    <w:unhideWhenUsed/>
    <w:rsid w:val="00FA79B9"/>
  </w:style>
  <w:style w:type="paragraph" w:styleId="Bibliography">
    <w:name w:val="Bibliography"/>
    <w:basedOn w:val="Normal"/>
    <w:next w:val="Normal"/>
    <w:uiPriority w:val="37"/>
    <w:unhideWhenUsed/>
    <w:rsid w:val="00FD5617"/>
    <w:pPr>
      <w:tabs>
        <w:tab w:val="left" w:pos="264"/>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tiff"/><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AC406B-6F55-4F4F-9252-EECA334E6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7481</Words>
  <Characters>42646</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dfelsky</dc:creator>
  <cp:keywords/>
  <dc:description/>
  <cp:lastModifiedBy>dfelsky</cp:lastModifiedBy>
  <cp:revision>4</cp:revision>
  <dcterms:created xsi:type="dcterms:W3CDTF">2021-12-30T20:54:00Z</dcterms:created>
  <dcterms:modified xsi:type="dcterms:W3CDTF">2021-12-30T20:55:00Z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id="V1jXh48M"/&gt;&lt;style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