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68CD" w14:textId="77777777" w:rsidR="00A37127" w:rsidRPr="00D279CB" w:rsidRDefault="00C1287D">
      <w:pPr>
        <w:rPr>
          <w:rFonts w:ascii="Times New Roman" w:hAnsi="Times New Roman" w:cs="Times New Roman"/>
          <w:sz w:val="24"/>
          <w:szCs w:val="24"/>
        </w:rPr>
      </w:pPr>
      <w:r w:rsidRPr="00D279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0AAE74" wp14:editId="236BF013">
            <wp:extent cx="4397895" cy="3296093"/>
            <wp:effectExtent l="0" t="0" r="3175" b="0"/>
            <wp:docPr id="1" name="Imagem 1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barras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328" cy="330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91553" w14:textId="30FC8860" w:rsidR="00284168" w:rsidRPr="00D279CB" w:rsidRDefault="00C1287D" w:rsidP="0006574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284168" w:rsidRPr="00D279CB">
          <w:pgSz w:w="12240" w:h="15840"/>
          <w:pgMar w:top="1417" w:right="1701" w:bottom="1417" w:left="1701" w:header="720" w:footer="720" w:gutter="0"/>
          <w:cols w:space="720"/>
          <w:docGrid w:linePitch="360"/>
        </w:sectPr>
      </w:pPr>
      <w:bookmarkStart w:id="0" w:name="_Hlk90968552"/>
      <w:r w:rsidRPr="00D279C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279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79CB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D279CB">
        <w:rPr>
          <w:rFonts w:ascii="Times New Roman" w:hAnsi="Times New Roman" w:cs="Times New Roman"/>
          <w:sz w:val="24"/>
          <w:szCs w:val="24"/>
        </w:rPr>
        <w:t>. Survival</w:t>
      </w:r>
      <w:r w:rsidR="00BE03CC" w:rsidRPr="00D279CB">
        <w:rPr>
          <w:rFonts w:ascii="Times New Roman" w:hAnsi="Times New Roman" w:cs="Times New Roman"/>
          <w:sz w:val="24"/>
          <w:szCs w:val="24"/>
        </w:rPr>
        <w:t xml:space="preserve"> (mean± SD)</w:t>
      </w:r>
      <w:r w:rsidRPr="00D279CB">
        <w:rPr>
          <w:rFonts w:ascii="Times New Roman" w:hAnsi="Times New Roman" w:cs="Times New Roman"/>
          <w:sz w:val="24"/>
          <w:szCs w:val="24"/>
        </w:rPr>
        <w:t xml:space="preserve"> of </w:t>
      </w:r>
      <w:r w:rsidRPr="00D279CB">
        <w:rPr>
          <w:rFonts w:ascii="Times New Roman" w:hAnsi="Times New Roman" w:cs="Times New Roman"/>
          <w:i/>
          <w:iCs/>
          <w:sz w:val="24"/>
          <w:szCs w:val="24"/>
        </w:rPr>
        <w:t>Hypothenemus hampei</w:t>
      </w:r>
      <w:r w:rsidRPr="00D279CB">
        <w:rPr>
          <w:rFonts w:ascii="Times New Roman" w:hAnsi="Times New Roman" w:cs="Times New Roman"/>
          <w:sz w:val="24"/>
          <w:szCs w:val="24"/>
        </w:rPr>
        <w:t xml:space="preserve"> 72 hours after topical application of acetone, none</w:t>
      </w:r>
      <w:r w:rsidR="00BE03CC" w:rsidRPr="00D279CB">
        <w:rPr>
          <w:rFonts w:ascii="Times New Roman" w:hAnsi="Times New Roman" w:cs="Times New Roman"/>
          <w:sz w:val="24"/>
          <w:szCs w:val="24"/>
        </w:rPr>
        <w:t>,</w:t>
      </w:r>
      <w:r w:rsidRPr="00D279CB">
        <w:rPr>
          <w:rFonts w:ascii="Times New Roman" w:hAnsi="Times New Roman" w:cs="Times New Roman"/>
          <w:sz w:val="24"/>
          <w:szCs w:val="24"/>
        </w:rPr>
        <w:t xml:space="preserve"> and surfactants </w:t>
      </w:r>
      <w:r w:rsidR="00BE03CC" w:rsidRPr="00D279CB">
        <w:rPr>
          <w:rFonts w:ascii="Times New Roman" w:hAnsi="Times New Roman" w:cs="Times New Roman"/>
          <w:sz w:val="24"/>
          <w:szCs w:val="24"/>
        </w:rPr>
        <w:t xml:space="preserve">(Ethanol + Tween 80 + ultrapure water). </w:t>
      </w:r>
      <w:r w:rsidR="00ED7DC6" w:rsidRPr="00D279CB">
        <w:rPr>
          <w:rFonts w:ascii="Times New Roman" w:hAnsi="Times New Roman" w:cs="Times New Roman"/>
          <w:sz w:val="24"/>
          <w:szCs w:val="24"/>
        </w:rPr>
        <w:t xml:space="preserve"> All solvents did not affect the survival of females CBB (ANOVA: F = 0.16; df = 2,9; P = 0.85).</w:t>
      </w:r>
    </w:p>
    <w:bookmarkEnd w:id="0"/>
    <w:p w14:paraId="23EFF7E9" w14:textId="51A2D133" w:rsidR="006221BC" w:rsidRPr="00D279CB" w:rsidRDefault="007C1598" w:rsidP="00F324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4076FA" wp14:editId="6EF335BA">
            <wp:extent cx="4319016" cy="3236976"/>
            <wp:effectExtent l="0" t="0" r="5715" b="190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323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943AB" w14:textId="2DB66822" w:rsidR="0086551B" w:rsidRPr="00D91EA0" w:rsidRDefault="00284168" w:rsidP="006F442E">
      <w:pPr>
        <w:spacing w:after="0" w:line="480" w:lineRule="auto"/>
        <w:jc w:val="both"/>
        <w:rPr>
          <w:rFonts w:ascii="Palatino Linotype" w:hAnsi="Palatino Linotype" w:cs="Times New Roman"/>
          <w:sz w:val="18"/>
          <w:szCs w:val="18"/>
        </w:rPr>
      </w:pPr>
      <w:bookmarkStart w:id="1" w:name="_Hlk90968635"/>
      <w:r w:rsidRPr="00D279C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279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79C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65747" w:rsidRPr="00D279C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279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279CB">
        <w:rPr>
          <w:rFonts w:ascii="Times New Roman" w:hAnsi="Times New Roman" w:cs="Times New Roman"/>
          <w:sz w:val="24"/>
          <w:szCs w:val="24"/>
        </w:rPr>
        <w:t xml:space="preserve"> Survival probability of </w:t>
      </w:r>
      <w:r w:rsidRPr="00D279CB">
        <w:rPr>
          <w:rFonts w:ascii="Times New Roman" w:hAnsi="Times New Roman" w:cs="Times New Roman"/>
          <w:i/>
          <w:iCs/>
          <w:sz w:val="24"/>
          <w:szCs w:val="24"/>
        </w:rPr>
        <w:t>Hypothenemus hampei</w:t>
      </w:r>
      <w:r w:rsidRPr="00D279CB">
        <w:rPr>
          <w:rFonts w:ascii="Times New Roman" w:hAnsi="Times New Roman" w:cs="Times New Roman"/>
          <w:sz w:val="24"/>
          <w:szCs w:val="24"/>
        </w:rPr>
        <w:t xml:space="preserve"> after topical application of </w:t>
      </w:r>
      <w:r w:rsidRPr="00D279CB">
        <w:rPr>
          <w:rFonts w:ascii="Times New Roman" w:hAnsi="Times New Roman" w:cs="Times New Roman"/>
          <w:i/>
          <w:iCs/>
          <w:sz w:val="24"/>
          <w:szCs w:val="24"/>
        </w:rPr>
        <w:t>Pogostemon cablin</w:t>
      </w:r>
      <w:r w:rsidRPr="00D279CB">
        <w:rPr>
          <w:rFonts w:ascii="Times New Roman" w:hAnsi="Times New Roman" w:cs="Times New Roman"/>
          <w:sz w:val="24"/>
          <w:szCs w:val="24"/>
        </w:rPr>
        <w:t xml:space="preserve"> essential oil (EO) and its </w:t>
      </w:r>
      <w:r w:rsidR="00D279CB">
        <w:rPr>
          <w:rFonts w:ascii="Times New Roman" w:hAnsi="Times New Roman" w:cs="Times New Roman"/>
          <w:sz w:val="24"/>
          <w:szCs w:val="24"/>
        </w:rPr>
        <w:t>emulsion</w:t>
      </w:r>
      <w:r w:rsidRPr="00D279CB">
        <w:rPr>
          <w:rFonts w:ascii="Times New Roman" w:hAnsi="Times New Roman" w:cs="Times New Roman"/>
          <w:sz w:val="24"/>
          <w:szCs w:val="24"/>
        </w:rPr>
        <w:t xml:space="preserve"> (18% of EO). Shaded areas represent 95% confidence intervals. Lower case letters indicate significant differences among treatments [Kaplan–Meier method, Log-Rank test (χ</w:t>
      </w:r>
      <w:r w:rsidRPr="00D279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279CB">
        <w:rPr>
          <w:rFonts w:ascii="Times New Roman" w:hAnsi="Times New Roman" w:cs="Times New Roman"/>
          <w:sz w:val="24"/>
          <w:szCs w:val="24"/>
        </w:rPr>
        <w:t xml:space="preserve"> = 103, df = 2; P &lt; 0.0001) and Bonferroni correction].</w:t>
      </w:r>
      <w:bookmarkEnd w:id="1"/>
      <w:r w:rsidR="0086551B" w:rsidRPr="00D91EA0">
        <w:rPr>
          <w:rFonts w:ascii="Palatino Linotype" w:hAnsi="Palatino Linotype" w:cs="Times New Roman"/>
          <w:sz w:val="18"/>
          <w:szCs w:val="18"/>
        </w:rPr>
        <w:br w:type="page"/>
      </w:r>
    </w:p>
    <w:p w14:paraId="7623E962" w14:textId="77777777" w:rsidR="0086551B" w:rsidRDefault="0086551B" w:rsidP="0086551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8CD9E3A" wp14:editId="26740009">
            <wp:extent cx="5608885" cy="2990850"/>
            <wp:effectExtent l="0" t="0" r="0" b="0"/>
            <wp:docPr id="11" name="Imagem 11" descr="Calendári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Calendário, Map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369" cy="301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D3CAD" w14:textId="1CD32C7A" w:rsidR="0086551B" w:rsidRPr="007171E7" w:rsidRDefault="0086551B" w:rsidP="00711A2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1E7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711A27">
        <w:rPr>
          <w:rFonts w:ascii="Times New Roman" w:hAnsi="Times New Roman" w:cs="Times New Roman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477BD">
        <w:rPr>
          <w:rFonts w:ascii="Times New Roman" w:hAnsi="Times New Roman" w:cs="Times New Roman"/>
          <w:sz w:val="24"/>
          <w:szCs w:val="24"/>
        </w:rPr>
        <w:t xml:space="preserve">Light micrographs of the </w:t>
      </w:r>
      <w:r>
        <w:rPr>
          <w:rFonts w:ascii="Times New Roman" w:hAnsi="Times New Roman" w:cs="Times New Roman"/>
          <w:sz w:val="24"/>
          <w:szCs w:val="24"/>
        </w:rPr>
        <w:t>brain and ovaries</w:t>
      </w:r>
      <w:r w:rsidRPr="001477BD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7BD">
        <w:rPr>
          <w:rFonts w:ascii="Times New Roman" w:hAnsi="Times New Roman" w:cs="Times New Roman"/>
          <w:i/>
          <w:iCs/>
          <w:sz w:val="24"/>
          <w:szCs w:val="24"/>
        </w:rPr>
        <w:t xml:space="preserve">Hypothenemus </w:t>
      </w:r>
      <w:r w:rsidRPr="00152F4C">
        <w:rPr>
          <w:rFonts w:ascii="Times New Roman" w:hAnsi="Times New Roman" w:cs="Times New Roman"/>
          <w:i/>
          <w:iCs/>
          <w:sz w:val="24"/>
          <w:szCs w:val="24"/>
        </w:rPr>
        <w:t>hampei</w:t>
      </w:r>
      <w:r>
        <w:rPr>
          <w:rFonts w:ascii="Times New Roman" w:hAnsi="Times New Roman" w:cs="Times New Roman"/>
          <w:sz w:val="24"/>
          <w:szCs w:val="24"/>
        </w:rPr>
        <w:t xml:space="preserve"> of the control group (A-B) and exposed to the </w:t>
      </w:r>
      <w:r w:rsidRPr="00B83636">
        <w:rPr>
          <w:rFonts w:ascii="Times New Roman" w:hAnsi="Times New Roman" w:cs="Times New Roman"/>
          <w:i/>
          <w:iCs/>
          <w:sz w:val="24"/>
          <w:szCs w:val="24"/>
        </w:rPr>
        <w:t>Pogostemon cablin</w:t>
      </w:r>
      <w:r>
        <w:rPr>
          <w:rFonts w:ascii="Times New Roman" w:hAnsi="Times New Roman" w:cs="Times New Roman"/>
          <w:sz w:val="24"/>
          <w:szCs w:val="24"/>
        </w:rPr>
        <w:t xml:space="preserve"> essential oil (C-D) or microemulsion (E-F) after 72h. </w:t>
      </w:r>
      <w:r w:rsidRPr="00A536AC">
        <w:rPr>
          <w:rFonts w:ascii="Times New Roman" w:hAnsi="Times New Roman" w:cs="Times New Roman"/>
          <w:sz w:val="24"/>
          <w:szCs w:val="24"/>
        </w:rPr>
        <w:t xml:space="preserve">Kenyon cells (Kc), </w:t>
      </w:r>
      <w:r>
        <w:rPr>
          <w:rFonts w:ascii="Times New Roman" w:hAnsi="Times New Roman" w:cs="Times New Roman"/>
          <w:sz w:val="24"/>
          <w:szCs w:val="24"/>
        </w:rPr>
        <w:t>neuropil of the</w:t>
      </w:r>
      <w:r w:rsidRPr="00A536AC">
        <w:rPr>
          <w:rFonts w:ascii="Times New Roman" w:hAnsi="Times New Roman" w:cs="Times New Roman"/>
          <w:sz w:val="24"/>
          <w:szCs w:val="24"/>
        </w:rPr>
        <w:t xml:space="preserve"> mushroom bodies (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A536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36AC">
        <w:rPr>
          <w:rFonts w:ascii="Times New Roman" w:hAnsi="Times New Roman" w:cs="Times New Roman"/>
          <w:sz w:val="24"/>
          <w:szCs w:val="24"/>
        </w:rPr>
        <w:t xml:space="preserve"> and antennal lobe (Al).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F60703">
        <w:rPr>
          <w:rFonts w:ascii="Times New Roman" w:hAnsi="Times New Roman" w:cs="Times New Roman"/>
          <w:sz w:val="24"/>
          <w:szCs w:val="24"/>
        </w:rPr>
        <w:t>ropharium (Tr)</w:t>
      </w:r>
      <w:r>
        <w:rPr>
          <w:rFonts w:ascii="Times New Roman" w:hAnsi="Times New Roman" w:cs="Times New Roman"/>
          <w:sz w:val="24"/>
          <w:szCs w:val="24"/>
        </w:rPr>
        <w:t>, o</w:t>
      </w:r>
      <w:r w:rsidRPr="00F60703">
        <w:rPr>
          <w:rFonts w:ascii="Times New Roman" w:hAnsi="Times New Roman" w:cs="Times New Roman"/>
          <w:sz w:val="24"/>
          <w:szCs w:val="24"/>
        </w:rPr>
        <w:t>ocyte (</w:t>
      </w:r>
      <w:proofErr w:type="spellStart"/>
      <w:r w:rsidRPr="00F6070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F6070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60703">
        <w:rPr>
          <w:rFonts w:ascii="Times New Roman" w:hAnsi="Times New Roman" w:cs="Times New Roman"/>
          <w:sz w:val="24"/>
          <w:szCs w:val="24"/>
        </w:rPr>
        <w:t>germinal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703">
        <w:rPr>
          <w:rFonts w:ascii="Times New Roman" w:hAnsi="Times New Roman" w:cs="Times New Roman"/>
          <w:sz w:val="24"/>
          <w:szCs w:val="24"/>
        </w:rPr>
        <w:t>vesicle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6F49">
        <w:rPr>
          <w:rFonts w:ascii="Times New Roman" w:hAnsi="Times New Roman" w:cs="Times New Roman"/>
          <w:sz w:val="24"/>
          <w:szCs w:val="24"/>
        </w:rPr>
        <w:t>arrowhead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F60703">
        <w:rPr>
          <w:rFonts w:ascii="Times New Roman" w:hAnsi="Times New Roman" w:cs="Times New Roman"/>
          <w:sz w:val="24"/>
          <w:szCs w:val="24"/>
        </w:rPr>
        <w:t>fo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60703">
        <w:rPr>
          <w:rFonts w:ascii="Times New Roman" w:hAnsi="Times New Roman" w:cs="Times New Roman"/>
          <w:sz w:val="24"/>
          <w:szCs w:val="24"/>
        </w:rPr>
        <w:t>licular cells</w:t>
      </w:r>
      <w:r>
        <w:rPr>
          <w:rFonts w:ascii="Times New Roman" w:hAnsi="Times New Roman" w:cs="Times New Roman"/>
          <w:sz w:val="24"/>
          <w:szCs w:val="24"/>
        </w:rPr>
        <w:t xml:space="preserve"> (Fc), and </w:t>
      </w:r>
      <w:r w:rsidRPr="00F60703">
        <w:rPr>
          <w:rFonts w:ascii="Times New Roman" w:hAnsi="Times New Roman" w:cs="Times New Roman"/>
          <w:sz w:val="24"/>
          <w:szCs w:val="24"/>
        </w:rPr>
        <w:t>peritoneal sheath (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60703">
        <w:rPr>
          <w:rFonts w:ascii="Times New Roman" w:hAnsi="Times New Roman" w:cs="Times New Roman"/>
          <w:sz w:val="24"/>
          <w:szCs w:val="24"/>
        </w:rPr>
        <w:t>s)</w:t>
      </w:r>
      <w:r>
        <w:rPr>
          <w:rFonts w:ascii="Times New Roman" w:hAnsi="Times New Roman" w:cs="Times New Roman"/>
          <w:sz w:val="24"/>
          <w:szCs w:val="24"/>
        </w:rPr>
        <w:t>. Bars = 40 µm.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3C9850" w14:textId="77777777" w:rsidR="00284168" w:rsidRPr="00A93717" w:rsidRDefault="00284168" w:rsidP="006F442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4168" w:rsidRPr="00A9371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2tDA0MTQwNzc0MLVQ0lEKTi0uzszPAykwMqkFAC/ptjgtAAAA"/>
  </w:docVars>
  <w:rsids>
    <w:rsidRoot w:val="00C1287D"/>
    <w:rsid w:val="00041895"/>
    <w:rsid w:val="00045EFF"/>
    <w:rsid w:val="00065747"/>
    <w:rsid w:val="000702F9"/>
    <w:rsid w:val="00284168"/>
    <w:rsid w:val="0042036C"/>
    <w:rsid w:val="00454BBE"/>
    <w:rsid w:val="004C5258"/>
    <w:rsid w:val="005125A9"/>
    <w:rsid w:val="006221BC"/>
    <w:rsid w:val="006A56C9"/>
    <w:rsid w:val="006F442E"/>
    <w:rsid w:val="00711A27"/>
    <w:rsid w:val="007C1598"/>
    <w:rsid w:val="007D16B2"/>
    <w:rsid w:val="008210D5"/>
    <w:rsid w:val="00837FA6"/>
    <w:rsid w:val="0086551B"/>
    <w:rsid w:val="0088248C"/>
    <w:rsid w:val="0088343D"/>
    <w:rsid w:val="008E1075"/>
    <w:rsid w:val="0095744F"/>
    <w:rsid w:val="00A37127"/>
    <w:rsid w:val="00A93717"/>
    <w:rsid w:val="00AF0D0C"/>
    <w:rsid w:val="00B77048"/>
    <w:rsid w:val="00BE03CC"/>
    <w:rsid w:val="00C1287D"/>
    <w:rsid w:val="00C70C63"/>
    <w:rsid w:val="00CA7F65"/>
    <w:rsid w:val="00CE4BCA"/>
    <w:rsid w:val="00D279CB"/>
    <w:rsid w:val="00D91EA0"/>
    <w:rsid w:val="00DC19CE"/>
    <w:rsid w:val="00DE4326"/>
    <w:rsid w:val="00E04544"/>
    <w:rsid w:val="00EC514B"/>
    <w:rsid w:val="00ED7DC6"/>
    <w:rsid w:val="00F324B6"/>
    <w:rsid w:val="00F44BAA"/>
    <w:rsid w:val="00FB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E9260"/>
  <w15:chartTrackingRefBased/>
  <w15:docId w15:val="{4EAD6866-53F9-4711-AFBB-83A84D40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30814-FA2A-498B-BE83-244BCAFF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Abraão Almeida</dc:creator>
  <cp:keywords/>
  <dc:description/>
  <cp:lastModifiedBy>Abraão Almeida</cp:lastModifiedBy>
  <cp:revision>26</cp:revision>
  <dcterms:created xsi:type="dcterms:W3CDTF">2021-06-16T11:55:00Z</dcterms:created>
  <dcterms:modified xsi:type="dcterms:W3CDTF">2022-01-03T16:48:00Z</dcterms:modified>
</cp:coreProperties>
</file>