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2155" w:tblpY="1533"/>
        <w:tblOverlap w:val="never"/>
        <w:tblW w:w="801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2190"/>
        <w:gridCol w:w="2235"/>
        <w:gridCol w:w="166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10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Table S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: 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The associations between sarcopenia and asthma in </w:t>
            </w:r>
            <w:r>
              <w:rPr>
                <w:rFonts w:hint="default" w:ascii="Calibri" w:hAnsi="Calibri" w:eastAsia="HelveticaNeueLTStd-Lt" w:cs="Calibri"/>
                <w:color w:val="231F20"/>
                <w:kern w:val="0"/>
                <w:sz w:val="24"/>
                <w:szCs w:val="24"/>
                <w:lang w:val="en-US" w:eastAsia="zh-CN" w:bidi="ar"/>
              </w:rPr>
              <w:t>the</w:t>
            </w:r>
            <w:r>
              <w:rPr>
                <w:rFonts w:hint="eastAsia" w:ascii="Calibri" w:hAnsi="Calibri" w:eastAsia="HelveticaNeue-BoldCond" w:cs="Calibri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Calibri" w:hAnsi="Calibri" w:eastAsia="CMCSC10" w:cs="Calibri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China Health and Retirement Longitudinal Study</w:t>
            </w:r>
            <w:r>
              <w:rPr>
                <w:rFonts w:hint="default" w:ascii="Calibri" w:hAnsi="Calibri" w:eastAsia="CMCSC10" w:cs="Calibri"/>
                <w:color w:val="FF0000"/>
                <w:kern w:val="0"/>
                <w:sz w:val="49"/>
                <w:szCs w:val="49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2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1</w:t>
            </w:r>
          </w:p>
        </w:tc>
        <w:tc>
          <w:tcPr>
            <w:tcW w:w="223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2</w:t>
            </w:r>
          </w:p>
        </w:tc>
        <w:tc>
          <w:tcPr>
            <w:tcW w:w="166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10" w:type="dxa"/>
            <w:gridSpan w:val="4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The associations between sarcopenia with the prevalence of asthma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Sarcopenia 2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 1.65)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(0.9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 1.5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 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Sarcopenia 3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Non-severe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2.18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(0.9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 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 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Severe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2.46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 1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.74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2, 1.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80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The association between asthma with the prevalence of sarcopenia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Asthma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Yes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 1.8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 1.64)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8, 1.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10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Model 1 adjusted the following variables: sex, age, region, urban/rural, married status, and body mass index.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Model 2 adjusted the following variables: sex, age, region, urban/rural, married status, body mass index, alcohol, smoking and night sleep duration.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Model 2 adjusted the following variables: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sex, age, region, urban/rural, married status, alcohol, smoking, body mass index,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night sleep duration,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hypertension, dyslipidemia,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hyperglycemia, cancers, chronic lung diseases, liver diseases, heart diseases, stroke, kidney diseases , digestive diseases, emotional or psychiatric problems, memory-related diseases, arthritis or rheumatism, 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and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depression. 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/>
          <w:sz w:val="24"/>
          <w:lang w:val="en-US"/>
        </w:rPr>
      </w:pPr>
    </w:p>
    <w:p/>
    <w:p/>
    <w:p/>
    <w:p/>
    <w:p/>
    <w:p/>
    <w:p/>
    <w:p/>
    <w:p/>
    <w:p/>
    <w:p/>
    <w:p/>
    <w:tbl>
      <w:tblPr>
        <w:tblStyle w:val="5"/>
        <w:tblpPr w:leftFromText="180" w:rightFromText="180" w:vertAnchor="page" w:horzAnchor="page" w:tblpX="1810" w:tblpY="1986"/>
        <w:tblOverlap w:val="never"/>
        <w:tblW w:w="8391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6"/>
        <w:gridCol w:w="2034"/>
        <w:gridCol w:w="1926"/>
        <w:gridCol w:w="211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91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Table S2: 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The associations between sarcopenia and asthma in </w:t>
            </w:r>
            <w:r>
              <w:rPr>
                <w:rFonts w:hint="default" w:ascii="Calibri" w:hAnsi="Calibri" w:eastAsia="HelveticaNeueLTStd-Lt" w:cs="Calibri"/>
                <w:color w:val="231F20"/>
                <w:kern w:val="0"/>
                <w:sz w:val="24"/>
                <w:szCs w:val="24"/>
                <w:lang w:val="en-US" w:eastAsia="zh-CN" w:bidi="ar"/>
              </w:rPr>
              <w:t>the Study on global AGEing and adult health from China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1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1</w:t>
            </w:r>
          </w:p>
        </w:tc>
        <w:tc>
          <w:tcPr>
            <w:tcW w:w="192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2</w:t>
            </w:r>
          </w:p>
        </w:tc>
        <w:tc>
          <w:tcPr>
            <w:tcW w:w="211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91" w:type="dxa"/>
            <w:gridSpan w:val="4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The associations between sarcopenia with the prevalence of asthma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Sarcopenia 2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Yes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2.09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2.17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7, 1.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Sarcopenia 3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Non-severe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1.39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2.18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2.17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1.32 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2.11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Severe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(0.8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2.46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2.42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2.15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The association between asthma with the prevalence of sarcopenia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Asthma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Yes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(0.8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 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 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5, 1.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391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Model 1 adjusted the following variables: sex, age, region, urban/rural, married status and body mass index.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Model 2 adjusted the following variables: sex, age, region, urban/rural, married status, body mass index, alcohol, smoking, vigorous-intensity activity , moderate-intensity activity and night sleep duration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Model 3 adjusted the following variables: sex, age, region, urban/rural, married status, body mass index, alcohol, smoking, vigorous-intensity activity , moderate- intensity activity, night sleep duration, hypertension, diabetes, angina, s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troke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 chronic lung diseases, and a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rthritis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</w:p>
        </w:tc>
      </w:tr>
    </w:tbl>
    <w:p/>
    <w:p/>
    <w:p/>
    <w:p/>
    <w:p>
      <w:r>
        <w:rPr>
          <w:rFonts w:hint="eastAsia"/>
          <w:sz w:val="24"/>
        </w:rPr>
        <w:t>S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 xml:space="preserve"> Fig</w:t>
      </w:r>
      <w:r>
        <w:rPr>
          <w:rFonts w:hint="eastAsia"/>
          <w:sz w:val="24"/>
          <w:lang w:val="en-US" w:eastAsia="zh-CN"/>
        </w:rPr>
        <w:t>ure</w:t>
      </w:r>
      <w:r>
        <w:rPr>
          <w:rFonts w:hint="eastAsia"/>
          <w:sz w:val="24"/>
        </w:rPr>
        <w:t>. The screen of independent risk factors of cancer specific death</w:t>
      </w:r>
      <w:r>
        <w:rPr>
          <w:sz w:val="24"/>
        </w:rPr>
        <w:t xml:space="preserve"> using the least absolute shrinkage and</w:t>
      </w:r>
      <w:r>
        <w:rPr>
          <w:rFonts w:hint="eastAsia"/>
          <w:sz w:val="24"/>
        </w:rPr>
        <w:t xml:space="preserve"> </w:t>
      </w:r>
      <w:r>
        <w:rPr>
          <w:sz w:val="24"/>
        </w:rPr>
        <w:t>selection operator (LASSO)</w:t>
      </w:r>
      <w:r>
        <w:rPr>
          <w:rFonts w:hint="eastAsia"/>
          <w:sz w:val="24"/>
        </w:rPr>
        <w:t xml:space="preserve"> analysis with</w:t>
      </w:r>
      <w:r>
        <w:rPr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binomial</w:t>
      </w:r>
      <w:r>
        <w:rPr>
          <w:sz w:val="24"/>
        </w:rPr>
        <w:t xml:space="preserve"> regression model</w:t>
      </w:r>
      <w:r>
        <w:rPr>
          <w:rFonts w:hint="eastAsia"/>
          <w:sz w:val="24"/>
          <w:lang w:val="en-US" w:eastAsia="zh-CN"/>
        </w:rPr>
        <w:t xml:space="preserve"> in in </w:t>
      </w:r>
      <w:r>
        <w:rPr>
          <w:rFonts w:hint="default" w:ascii="Calibri" w:hAnsi="Calibri" w:eastAsia="HelveticaNeueLTStd-Lt" w:cs="Calibri"/>
          <w:color w:val="231F20"/>
          <w:kern w:val="0"/>
          <w:sz w:val="24"/>
          <w:szCs w:val="24"/>
          <w:lang w:val="en-US" w:eastAsia="zh-CN" w:bidi="ar"/>
        </w:rPr>
        <w:t>the</w:t>
      </w:r>
      <w:r>
        <w:rPr>
          <w:rFonts w:hint="eastAsia" w:ascii="Calibri" w:hAnsi="Calibri" w:eastAsia="HelveticaNeue-BoldCond" w:cs="Calibri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Calibri" w:hAnsi="Calibri" w:eastAsia="CMCSC10" w:cs="Calibri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China Health and Retirement Longitudinal Study</w:t>
      </w:r>
      <w:r>
        <w:rPr>
          <w:rFonts w:hint="eastAsia" w:ascii="Calibri" w:hAnsi="Calibri" w:eastAsia="CMCSC10" w:cs="Calibri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default" w:ascii="Calibri" w:hAnsi="Calibri" w:eastAsia="HelveticaNeueLTStd-Lt" w:cs="Calibri"/>
          <w:color w:val="231F20"/>
          <w:kern w:val="0"/>
          <w:sz w:val="24"/>
          <w:szCs w:val="24"/>
          <w:lang w:val="en-US" w:eastAsia="zh-CN" w:bidi="ar"/>
        </w:rPr>
        <w:t>the Study on global AGEing and adult health from Chin</w:t>
      </w:r>
      <w:r>
        <w:rPr>
          <w:rFonts w:hint="eastAsia" w:ascii="Calibri" w:hAnsi="Calibri" w:eastAsia="HelveticaNeueLTStd-Lt" w:cs="Calibri"/>
          <w:color w:val="231F20"/>
          <w:kern w:val="0"/>
          <w:sz w:val="24"/>
          <w:szCs w:val="24"/>
          <w:lang w:val="en-US" w:eastAsia="zh-CN" w:bidi="ar"/>
        </w:rPr>
        <w:t>a</w:t>
      </w:r>
      <w:r>
        <w:rPr>
          <w:sz w:val="24"/>
        </w:rPr>
        <w:t>. A</w:t>
      </w:r>
      <w:r>
        <w:rPr>
          <w:rFonts w:hint="eastAsia"/>
          <w:sz w:val="24"/>
          <w:lang w:val="en-US" w:eastAsia="zh-CN"/>
        </w:rPr>
        <w:t>.</w:t>
      </w:r>
      <w:r>
        <w:rPr>
          <w:sz w:val="24"/>
        </w:rPr>
        <w:t xml:space="preserve"> Tuning</w:t>
      </w:r>
      <w:r>
        <w:rPr>
          <w:rFonts w:hint="eastAsia"/>
          <w:sz w:val="24"/>
        </w:rPr>
        <w:t xml:space="preserve"> </w:t>
      </w:r>
      <w:r>
        <w:rPr>
          <w:sz w:val="24"/>
        </w:rPr>
        <w:t>parameter selection in the LASSO model used 10-fold cross-validation via</w:t>
      </w:r>
      <w:r>
        <w:rPr>
          <w:rFonts w:hint="eastAsia"/>
          <w:sz w:val="24"/>
        </w:rPr>
        <w:t xml:space="preserve"> </w:t>
      </w:r>
      <w:r>
        <w:rPr>
          <w:sz w:val="24"/>
        </w:rPr>
        <w:t>minimum criteria</w:t>
      </w:r>
      <w:r>
        <w:rPr>
          <w:rFonts w:hint="eastAsia"/>
          <w:sz w:val="24"/>
          <w:lang w:val="en-US" w:eastAsia="zh-CN"/>
        </w:rPr>
        <w:t xml:space="preserve"> in </w:t>
      </w:r>
      <w:r>
        <w:rPr>
          <w:rFonts w:hint="default" w:ascii="Calibri" w:hAnsi="Calibri" w:eastAsia="HelveticaNeueLTStd-Lt" w:cs="Calibri"/>
          <w:color w:val="231F20"/>
          <w:kern w:val="0"/>
          <w:sz w:val="24"/>
          <w:szCs w:val="24"/>
          <w:lang w:val="en-US" w:eastAsia="zh-CN" w:bidi="ar"/>
        </w:rPr>
        <w:t>the</w:t>
      </w:r>
      <w:r>
        <w:rPr>
          <w:rFonts w:hint="eastAsia" w:ascii="Calibri" w:hAnsi="Calibri" w:eastAsia="HelveticaNeue-BoldCond" w:cs="Calibri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Calibri" w:hAnsi="Calibri" w:eastAsia="CMCSC10" w:cs="Calibri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China Health and Retirement Longitudinal Study</w:t>
      </w:r>
      <w:r>
        <w:rPr>
          <w:rFonts w:hint="eastAsia" w:ascii="Calibri" w:hAnsi="Calibri" w:eastAsia="CMCSC10" w:cs="Calibri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hint="eastAsia"/>
          <w:sz w:val="24"/>
        </w:rPr>
        <w:t>B</w:t>
      </w:r>
      <w:r>
        <w:rPr>
          <w:rFonts w:hint="eastAsia"/>
          <w:sz w:val="24"/>
          <w:lang w:val="en-US" w:eastAsia="zh-CN"/>
        </w:rPr>
        <w:t>.</w:t>
      </w:r>
      <w:r>
        <w:rPr>
          <w:rFonts w:hint="eastAsia"/>
          <w:sz w:val="24"/>
        </w:rPr>
        <w:t xml:space="preserve"> </w:t>
      </w:r>
      <w:r>
        <w:rPr>
          <w:sz w:val="24"/>
        </w:rPr>
        <w:t>LASSO</w:t>
      </w:r>
      <w:r>
        <w:rPr>
          <w:rFonts w:hint="eastAsia"/>
          <w:sz w:val="24"/>
        </w:rPr>
        <w:t xml:space="preserve"> </w:t>
      </w:r>
      <w:r>
        <w:rPr>
          <w:sz w:val="24"/>
        </w:rPr>
        <w:t>coef</w:t>
      </w:r>
      <w:r>
        <w:rPr>
          <w:rFonts w:hint="eastAsia"/>
          <w:sz w:val="24"/>
        </w:rPr>
        <w:t>fi</w:t>
      </w:r>
      <w:r>
        <w:rPr>
          <w:sz w:val="24"/>
        </w:rPr>
        <w:t>cient pro</w:t>
      </w:r>
      <w:r>
        <w:rPr>
          <w:rFonts w:hint="eastAsia"/>
          <w:sz w:val="24"/>
        </w:rPr>
        <w:t>fi</w:t>
      </w:r>
      <w:r>
        <w:rPr>
          <w:sz w:val="24"/>
        </w:rPr>
        <w:t xml:space="preserve">les of </w:t>
      </w:r>
      <w:r>
        <w:rPr>
          <w:rFonts w:hint="eastAsia"/>
          <w:sz w:val="24"/>
        </w:rPr>
        <w:t>potential risk factors</w:t>
      </w:r>
      <w:r>
        <w:rPr>
          <w:rFonts w:hint="eastAsia"/>
          <w:sz w:val="24"/>
          <w:lang w:val="en-US" w:eastAsia="zh-CN"/>
        </w:rPr>
        <w:t xml:space="preserve"> in </w:t>
      </w:r>
      <w:r>
        <w:rPr>
          <w:rFonts w:hint="default" w:ascii="Calibri" w:hAnsi="Calibri" w:eastAsia="HelveticaNeueLTStd-Lt" w:cs="Calibri"/>
          <w:color w:val="231F20"/>
          <w:kern w:val="0"/>
          <w:sz w:val="24"/>
          <w:szCs w:val="24"/>
          <w:lang w:val="en-US" w:eastAsia="zh-CN" w:bidi="ar"/>
        </w:rPr>
        <w:t>the</w:t>
      </w:r>
      <w:r>
        <w:rPr>
          <w:rFonts w:hint="eastAsia" w:ascii="Calibri" w:hAnsi="Calibri" w:eastAsia="HelveticaNeue-BoldCond" w:cs="Calibri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Calibri" w:hAnsi="Calibri" w:eastAsia="CMCSC10" w:cs="Calibri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China Health and Retirement Longitudinal Study</w:t>
      </w:r>
      <w:r>
        <w:rPr>
          <w:rFonts w:hint="eastAsia" w:ascii="Calibri" w:hAnsi="Calibri" w:eastAsia="CMCSC10" w:cs="Calibri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;</w:t>
      </w:r>
      <w:r>
        <w:rPr>
          <w:rFonts w:hint="eastAsia"/>
          <w:sz w:val="24"/>
        </w:rPr>
        <w:t xml:space="preserve"> C</w:t>
      </w:r>
      <w:r>
        <w:rPr>
          <w:rFonts w:hint="eastAsia"/>
          <w:sz w:val="24"/>
          <w:lang w:val="en-US" w:eastAsia="zh-CN"/>
        </w:rPr>
        <w:t>.</w:t>
      </w:r>
      <w:r>
        <w:rPr>
          <w:rFonts w:hint="eastAsia"/>
          <w:sz w:val="24"/>
        </w:rPr>
        <w:t xml:space="preserve"> </w:t>
      </w:r>
      <w:r>
        <w:rPr>
          <w:sz w:val="24"/>
        </w:rPr>
        <w:t>The area under the receiver operating characteristic curve (AUC</w:t>
      </w:r>
      <w:r>
        <w:rPr>
          <w:rFonts w:hint="eastAsia"/>
          <w:sz w:val="24"/>
        </w:rPr>
        <w:t>=0.</w:t>
      </w:r>
      <w:r>
        <w:rPr>
          <w:rFonts w:hint="eastAsia"/>
          <w:sz w:val="24"/>
          <w:lang w:val="en-US" w:eastAsia="zh-CN"/>
        </w:rPr>
        <w:t>915</w:t>
      </w:r>
      <w:r>
        <w:rPr>
          <w:sz w:val="24"/>
        </w:rPr>
        <w:t>)</w:t>
      </w:r>
      <w:r>
        <w:rPr>
          <w:rFonts w:hint="eastAsia"/>
          <w:sz w:val="24"/>
          <w:lang w:val="en-US" w:eastAsia="zh-CN"/>
        </w:rPr>
        <w:t xml:space="preserve"> in </w:t>
      </w:r>
      <w:r>
        <w:rPr>
          <w:rFonts w:hint="default" w:ascii="Calibri" w:hAnsi="Calibri" w:eastAsia="HelveticaNeueLTStd-Lt" w:cs="Calibri"/>
          <w:color w:val="231F20"/>
          <w:kern w:val="0"/>
          <w:sz w:val="24"/>
          <w:szCs w:val="24"/>
          <w:lang w:val="en-US" w:eastAsia="zh-CN" w:bidi="ar"/>
        </w:rPr>
        <w:t>the</w:t>
      </w:r>
      <w:r>
        <w:rPr>
          <w:rFonts w:hint="eastAsia" w:ascii="Calibri" w:hAnsi="Calibri" w:eastAsia="HelveticaNeue-BoldCond" w:cs="Calibri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Calibri" w:hAnsi="Calibri" w:eastAsia="CMCSC10" w:cs="Calibri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China Health and Retirement Longitudinal Study</w:t>
      </w:r>
      <w:r>
        <w:rPr>
          <w:rFonts w:hint="eastAsia" w:ascii="Calibri" w:hAnsi="Calibri" w:eastAsia="CMCSC10" w:cs="Calibri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; D</w:t>
      </w:r>
      <w:r>
        <w:rPr>
          <w:rFonts w:hint="eastAsia"/>
          <w:sz w:val="24"/>
          <w:lang w:val="en-US" w:eastAsia="zh-CN"/>
        </w:rPr>
        <w:t>.</w:t>
      </w:r>
      <w:r>
        <w:rPr>
          <w:sz w:val="24"/>
        </w:rPr>
        <w:t xml:space="preserve"> Tuning</w:t>
      </w:r>
      <w:r>
        <w:rPr>
          <w:rFonts w:hint="eastAsia"/>
          <w:sz w:val="24"/>
        </w:rPr>
        <w:t xml:space="preserve"> </w:t>
      </w:r>
      <w:r>
        <w:rPr>
          <w:sz w:val="24"/>
        </w:rPr>
        <w:t>parameter selection in the LASSO model used 10-fold cross-validation via</w:t>
      </w:r>
      <w:r>
        <w:rPr>
          <w:rFonts w:hint="eastAsia"/>
          <w:sz w:val="24"/>
        </w:rPr>
        <w:t xml:space="preserve"> </w:t>
      </w:r>
      <w:r>
        <w:rPr>
          <w:sz w:val="24"/>
        </w:rPr>
        <w:t>minimum criteria</w:t>
      </w:r>
      <w:r>
        <w:rPr>
          <w:rFonts w:hint="eastAsia"/>
          <w:sz w:val="24"/>
          <w:lang w:val="en-US" w:eastAsia="zh-CN"/>
        </w:rPr>
        <w:t xml:space="preserve"> in </w:t>
      </w:r>
      <w:r>
        <w:rPr>
          <w:rFonts w:hint="default" w:ascii="Calibri" w:hAnsi="Calibri" w:eastAsia="HelveticaNeueLTStd-Lt" w:cs="Calibri"/>
          <w:color w:val="231F20"/>
          <w:kern w:val="0"/>
          <w:sz w:val="24"/>
          <w:szCs w:val="24"/>
          <w:lang w:val="en-US" w:eastAsia="zh-CN" w:bidi="ar"/>
        </w:rPr>
        <w:t>the Study on global AGEing and adult health from Chin</w:t>
      </w:r>
      <w:r>
        <w:rPr>
          <w:rFonts w:hint="eastAsia" w:ascii="Calibri" w:hAnsi="Calibri" w:eastAsia="HelveticaNeueLTStd-Lt" w:cs="Calibri"/>
          <w:color w:val="231F20"/>
          <w:kern w:val="0"/>
          <w:sz w:val="24"/>
          <w:szCs w:val="24"/>
          <w:lang w:val="en-US" w:eastAsia="zh-CN" w:bidi="ar"/>
        </w:rPr>
        <w:t>a</w:t>
      </w:r>
      <w:r>
        <w:rPr>
          <w:rFonts w:hint="eastAsia" w:ascii="Calibri" w:hAnsi="Calibri" w:eastAsia="CMCSC10" w:cs="Calibri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; E</w:t>
      </w:r>
      <w:r>
        <w:rPr>
          <w:rFonts w:hint="eastAsia"/>
          <w:sz w:val="24"/>
          <w:lang w:val="en-US" w:eastAsia="zh-CN"/>
        </w:rPr>
        <w:t>.</w:t>
      </w:r>
      <w:r>
        <w:rPr>
          <w:rFonts w:hint="eastAsia"/>
          <w:sz w:val="24"/>
        </w:rPr>
        <w:t xml:space="preserve"> </w:t>
      </w:r>
      <w:r>
        <w:rPr>
          <w:sz w:val="24"/>
        </w:rPr>
        <w:t>LASSO</w:t>
      </w:r>
      <w:r>
        <w:rPr>
          <w:rFonts w:hint="eastAsia"/>
          <w:sz w:val="24"/>
        </w:rPr>
        <w:t xml:space="preserve"> </w:t>
      </w:r>
      <w:r>
        <w:rPr>
          <w:sz w:val="24"/>
        </w:rPr>
        <w:t>coef</w:t>
      </w:r>
      <w:r>
        <w:rPr>
          <w:rFonts w:hint="eastAsia"/>
          <w:sz w:val="24"/>
        </w:rPr>
        <w:t>fi</w:t>
      </w:r>
      <w:r>
        <w:rPr>
          <w:sz w:val="24"/>
        </w:rPr>
        <w:t>cient pro</w:t>
      </w:r>
      <w:r>
        <w:rPr>
          <w:rFonts w:hint="eastAsia"/>
          <w:sz w:val="24"/>
        </w:rPr>
        <w:t>fi</w:t>
      </w:r>
      <w:r>
        <w:rPr>
          <w:sz w:val="24"/>
        </w:rPr>
        <w:t xml:space="preserve">les of </w:t>
      </w:r>
      <w:r>
        <w:rPr>
          <w:rFonts w:hint="eastAsia"/>
          <w:sz w:val="24"/>
        </w:rPr>
        <w:t>potential risk factors</w:t>
      </w:r>
      <w:r>
        <w:rPr>
          <w:rFonts w:hint="eastAsia"/>
          <w:sz w:val="24"/>
          <w:lang w:val="en-US" w:eastAsia="zh-CN"/>
        </w:rPr>
        <w:t xml:space="preserve"> in </w:t>
      </w:r>
      <w:r>
        <w:rPr>
          <w:rFonts w:hint="default" w:ascii="Calibri" w:hAnsi="Calibri" w:eastAsia="HelveticaNeueLTStd-Lt" w:cs="Calibri"/>
          <w:color w:val="231F20"/>
          <w:kern w:val="0"/>
          <w:sz w:val="24"/>
          <w:szCs w:val="24"/>
          <w:lang w:val="en-US" w:eastAsia="zh-CN" w:bidi="ar"/>
        </w:rPr>
        <w:t>the</w:t>
      </w:r>
      <w:r>
        <w:rPr>
          <w:rFonts w:hint="eastAsia" w:ascii="Calibri" w:hAnsi="Calibri" w:eastAsia="HelveticaNeue-BoldCond" w:cs="Calibri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Calibri" w:hAnsi="Calibri" w:eastAsia="HelveticaNeueLTStd-Lt" w:cs="Calibri"/>
          <w:color w:val="231F20"/>
          <w:kern w:val="0"/>
          <w:sz w:val="24"/>
          <w:szCs w:val="24"/>
          <w:lang w:val="en-US" w:eastAsia="zh-CN" w:bidi="ar"/>
        </w:rPr>
        <w:t>the Study on global AGEing and adult health from Chin</w:t>
      </w:r>
      <w:r>
        <w:rPr>
          <w:rFonts w:hint="eastAsia" w:ascii="Calibri" w:hAnsi="Calibri" w:eastAsia="HelveticaNeueLTStd-Lt" w:cs="Calibri"/>
          <w:color w:val="231F20"/>
          <w:kern w:val="0"/>
          <w:sz w:val="24"/>
          <w:szCs w:val="24"/>
          <w:lang w:val="en-US" w:eastAsia="zh-CN" w:bidi="ar"/>
        </w:rPr>
        <w:t>a</w:t>
      </w:r>
      <w:r>
        <w:rPr>
          <w:rFonts w:hint="eastAsia" w:ascii="Calibri" w:hAnsi="Calibri" w:eastAsia="CMCSC10" w:cs="Calibri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;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F.</w:t>
      </w:r>
      <w:r>
        <w:rPr>
          <w:rFonts w:hint="eastAsia"/>
          <w:sz w:val="24"/>
        </w:rPr>
        <w:t xml:space="preserve"> </w:t>
      </w:r>
      <w:r>
        <w:rPr>
          <w:sz w:val="24"/>
        </w:rPr>
        <w:t>The area under the receiver operating characteristic curve (AUC</w:t>
      </w:r>
      <w:r>
        <w:rPr>
          <w:rFonts w:hint="eastAsia"/>
          <w:sz w:val="24"/>
        </w:rPr>
        <w:t>=0.</w:t>
      </w:r>
      <w:r>
        <w:rPr>
          <w:rFonts w:hint="eastAsia"/>
          <w:sz w:val="24"/>
          <w:lang w:val="en-US" w:eastAsia="zh-CN"/>
        </w:rPr>
        <w:t>958</w:t>
      </w:r>
      <w:r>
        <w:rPr>
          <w:sz w:val="24"/>
        </w:rPr>
        <w:t>)</w:t>
      </w:r>
      <w:r>
        <w:rPr>
          <w:rFonts w:hint="eastAsia"/>
          <w:sz w:val="24"/>
          <w:lang w:val="en-US" w:eastAsia="zh-CN"/>
        </w:rPr>
        <w:t xml:space="preserve"> in </w:t>
      </w:r>
      <w:r>
        <w:rPr>
          <w:rFonts w:hint="default" w:ascii="Calibri" w:hAnsi="Calibri" w:eastAsia="HelveticaNeueLTStd-Lt" w:cs="Calibri"/>
          <w:color w:val="231F20"/>
          <w:kern w:val="0"/>
          <w:sz w:val="24"/>
          <w:szCs w:val="24"/>
          <w:lang w:val="en-US" w:eastAsia="zh-CN" w:bidi="ar"/>
        </w:rPr>
        <w:t>thethe Study on global AGEing and adult health from Chin</w:t>
      </w:r>
      <w:r>
        <w:rPr>
          <w:rFonts w:hint="eastAsia" w:ascii="Calibri" w:hAnsi="Calibri" w:eastAsia="HelveticaNeueLTStd-Lt" w:cs="Calibri"/>
          <w:color w:val="231F20"/>
          <w:kern w:val="0"/>
          <w:sz w:val="24"/>
          <w:szCs w:val="24"/>
          <w:lang w:val="en-US" w:eastAsia="zh-CN" w:bidi="ar"/>
        </w:rPr>
        <w:t>a</w:t>
      </w:r>
      <w:r>
        <w:rPr>
          <w:rFonts w:hint="eastAsia" w:ascii="Calibri" w:hAnsi="Calibri" w:eastAsia="CMCSC10" w:cs="Calibri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.</w:t>
      </w:r>
      <w:bookmarkStart w:id="0" w:name="_GoBack"/>
      <w:bookmarkEnd w:id="0"/>
    </w:p>
    <w:sectPr>
      <w:pgSz w:w="11906" w:h="16838"/>
      <w:pgMar w:top="1440" w:right="1803" w:bottom="1440" w:left="1803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HelveticaNeueLTStd-L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lveticaNeue-BoldCond">
    <w:altName w:val="宋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CMCSC1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222102"/>
    <w:rsid w:val="0218291C"/>
    <w:rsid w:val="02505C12"/>
    <w:rsid w:val="02E9145B"/>
    <w:rsid w:val="053616B0"/>
    <w:rsid w:val="063F4344"/>
    <w:rsid w:val="0B2034FE"/>
    <w:rsid w:val="100E7A40"/>
    <w:rsid w:val="111F7DDE"/>
    <w:rsid w:val="11936C66"/>
    <w:rsid w:val="13C61FEE"/>
    <w:rsid w:val="147030D3"/>
    <w:rsid w:val="14E93716"/>
    <w:rsid w:val="15F22012"/>
    <w:rsid w:val="198E5407"/>
    <w:rsid w:val="1C3A15E9"/>
    <w:rsid w:val="1D2641E6"/>
    <w:rsid w:val="1F7D19D2"/>
    <w:rsid w:val="203B7309"/>
    <w:rsid w:val="21C44C50"/>
    <w:rsid w:val="22B95BC6"/>
    <w:rsid w:val="233B1AA7"/>
    <w:rsid w:val="23476D20"/>
    <w:rsid w:val="24661428"/>
    <w:rsid w:val="2769195B"/>
    <w:rsid w:val="2EB63787"/>
    <w:rsid w:val="2FD41817"/>
    <w:rsid w:val="32E77BD8"/>
    <w:rsid w:val="365745C1"/>
    <w:rsid w:val="36827A5E"/>
    <w:rsid w:val="3B6D05D5"/>
    <w:rsid w:val="3CCC056A"/>
    <w:rsid w:val="441011FD"/>
    <w:rsid w:val="44B9236F"/>
    <w:rsid w:val="4D46182A"/>
    <w:rsid w:val="4E682131"/>
    <w:rsid w:val="513047C4"/>
    <w:rsid w:val="528528F9"/>
    <w:rsid w:val="54640C31"/>
    <w:rsid w:val="55A0038E"/>
    <w:rsid w:val="576F564C"/>
    <w:rsid w:val="59AE0F2F"/>
    <w:rsid w:val="5AFA711E"/>
    <w:rsid w:val="5C2F7D0B"/>
    <w:rsid w:val="5DAA77C1"/>
    <w:rsid w:val="60FF6F7E"/>
    <w:rsid w:val="63B6148E"/>
    <w:rsid w:val="63D63907"/>
    <w:rsid w:val="63F5784E"/>
    <w:rsid w:val="64E5379A"/>
    <w:rsid w:val="6AAB68B8"/>
    <w:rsid w:val="6B6E3598"/>
    <w:rsid w:val="6D392803"/>
    <w:rsid w:val="70222102"/>
    <w:rsid w:val="71BA3DAC"/>
    <w:rsid w:val="72707EDF"/>
    <w:rsid w:val="77467D0C"/>
    <w:rsid w:val="78A5603B"/>
    <w:rsid w:val="7A293C27"/>
    <w:rsid w:val="7AB43E11"/>
    <w:rsid w:val="7F282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Helvetica" w:asciiTheme="minorHAnsi" w:hAnsiTheme="minorHAnsi" w:eastAsiaTheme="minorEastAsia"/>
      <w:kern w:val="2"/>
      <w:sz w:val="17"/>
      <w:szCs w:val="17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样式2"/>
    <w:basedOn w:val="2"/>
    <w:next w:val="1"/>
    <w:qFormat/>
    <w:uiPriority w:val="0"/>
    <w:rPr>
      <w:rFonts w:hint="eastAsia" w:ascii="Calibri" w:hAnsi="Calibri" w:eastAsia="宋体" w:cs="宋体"/>
      <w:sz w:val="48"/>
      <w:szCs w:val="48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2021-07-24T04:16:00Z</dcterms:created>
  <dc:creator>古月心</dc:creator>
  <cp:lastModifiedBy>古月心</cp:lastModifiedBy>
  <dcterms:modified xsi:type="dcterms:W3CDTF">2021-12-19T03:20:09Z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3AA90941A9F44327A716FE122D51BB3D</vt:lpwstr>
  </property>
</Properties>
</file>