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A1738" w14:textId="77777777" w:rsidR="00BB09D8" w:rsidRPr="00ED454F" w:rsidRDefault="00BB09D8" w:rsidP="00BB09D8">
      <w:pPr>
        <w:spacing w:line="480" w:lineRule="auto"/>
        <w:rPr>
          <w:b/>
          <w:sz w:val="20"/>
          <w:szCs w:val="20"/>
        </w:rPr>
      </w:pPr>
      <w:r>
        <w:rPr>
          <w:b/>
          <w:sz w:val="20"/>
          <w:szCs w:val="20"/>
        </w:rPr>
        <w:t xml:space="preserve">Appendix 1 - </w:t>
      </w:r>
      <w:r w:rsidRPr="00ED454F">
        <w:rPr>
          <w:b/>
          <w:sz w:val="20"/>
          <w:szCs w:val="20"/>
        </w:rPr>
        <w:t>Supplementary material</w:t>
      </w:r>
    </w:p>
    <w:tbl>
      <w:tblPr>
        <w:tblW w:w="982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2"/>
        <w:gridCol w:w="990"/>
        <w:gridCol w:w="1170"/>
        <w:gridCol w:w="990"/>
        <w:gridCol w:w="2700"/>
        <w:gridCol w:w="3127"/>
      </w:tblGrid>
      <w:tr w:rsidR="00BB09D8" w:rsidRPr="00ED454F" w14:paraId="2DCF00F5" w14:textId="77777777" w:rsidTr="003C06EC">
        <w:trPr>
          <w:trHeight w:val="300"/>
        </w:trPr>
        <w:tc>
          <w:tcPr>
            <w:tcW w:w="9829" w:type="dxa"/>
            <w:gridSpan w:val="6"/>
            <w:tcBorders>
              <w:top w:val="nil"/>
              <w:left w:val="nil"/>
              <w:bottom w:val="single" w:sz="4" w:space="0" w:color="auto"/>
              <w:right w:val="nil"/>
            </w:tcBorders>
            <w:shd w:val="clear" w:color="auto" w:fill="auto"/>
          </w:tcPr>
          <w:p w14:paraId="7459A2FF" w14:textId="77777777" w:rsidR="00BB09D8" w:rsidRPr="00ED454F" w:rsidRDefault="00BB09D8" w:rsidP="003C06EC">
            <w:pPr>
              <w:jc w:val="both"/>
              <w:rPr>
                <w:b/>
                <w:color w:val="000000"/>
                <w:sz w:val="20"/>
                <w:szCs w:val="20"/>
                <w:lang w:eastAsia="en-AU"/>
              </w:rPr>
            </w:pPr>
            <w:r w:rsidRPr="00ED454F">
              <w:rPr>
                <w:b/>
                <w:color w:val="000000"/>
                <w:sz w:val="20"/>
                <w:szCs w:val="20"/>
              </w:rPr>
              <w:t xml:space="preserve">Table </w:t>
            </w:r>
            <w:r>
              <w:rPr>
                <w:b/>
                <w:color w:val="000000"/>
                <w:sz w:val="20"/>
                <w:szCs w:val="20"/>
              </w:rPr>
              <w:t>A1</w:t>
            </w:r>
            <w:r w:rsidRPr="00ED454F">
              <w:rPr>
                <w:b/>
                <w:color w:val="000000"/>
                <w:sz w:val="20"/>
                <w:szCs w:val="20"/>
              </w:rPr>
              <w:t xml:space="preserve"> </w:t>
            </w:r>
            <w:r w:rsidRPr="00BC7989">
              <w:rPr>
                <w:bCs/>
                <w:color w:val="000000"/>
                <w:sz w:val="20"/>
                <w:szCs w:val="20"/>
              </w:rPr>
              <w:t>Study Descriptions</w:t>
            </w:r>
          </w:p>
        </w:tc>
      </w:tr>
      <w:tr w:rsidR="00BB09D8" w:rsidRPr="00ED454F" w14:paraId="3BFA233D" w14:textId="77777777" w:rsidTr="003C06EC">
        <w:trPr>
          <w:trHeight w:val="300"/>
        </w:trPr>
        <w:tc>
          <w:tcPr>
            <w:tcW w:w="852" w:type="dxa"/>
            <w:tcBorders>
              <w:top w:val="single" w:sz="4" w:space="0" w:color="auto"/>
              <w:left w:val="nil"/>
              <w:bottom w:val="single" w:sz="4" w:space="0" w:color="auto"/>
              <w:right w:val="nil"/>
            </w:tcBorders>
            <w:shd w:val="clear" w:color="auto" w:fill="auto"/>
            <w:hideMark/>
          </w:tcPr>
          <w:p w14:paraId="79647544" w14:textId="77777777" w:rsidR="00BB09D8" w:rsidRPr="00ED454F" w:rsidRDefault="00BB09D8" w:rsidP="003C06EC">
            <w:pPr>
              <w:jc w:val="both"/>
              <w:rPr>
                <w:b/>
                <w:color w:val="000000"/>
                <w:sz w:val="20"/>
                <w:szCs w:val="20"/>
                <w:lang w:eastAsia="en-AU"/>
              </w:rPr>
            </w:pPr>
            <w:r w:rsidRPr="00ED454F">
              <w:rPr>
                <w:b/>
                <w:color w:val="000000"/>
                <w:sz w:val="20"/>
                <w:szCs w:val="20"/>
                <w:lang w:eastAsia="en-AU"/>
              </w:rPr>
              <w:t>Authors</w:t>
            </w:r>
          </w:p>
        </w:tc>
        <w:tc>
          <w:tcPr>
            <w:tcW w:w="990" w:type="dxa"/>
            <w:tcBorders>
              <w:top w:val="single" w:sz="4" w:space="0" w:color="auto"/>
              <w:left w:val="nil"/>
              <w:bottom w:val="single" w:sz="4" w:space="0" w:color="auto"/>
              <w:right w:val="nil"/>
            </w:tcBorders>
            <w:shd w:val="clear" w:color="auto" w:fill="auto"/>
            <w:hideMark/>
          </w:tcPr>
          <w:p w14:paraId="1DF3AFBC" w14:textId="77777777" w:rsidR="00BB09D8" w:rsidRPr="00ED454F" w:rsidRDefault="00BB09D8" w:rsidP="003C06EC">
            <w:pPr>
              <w:ind w:left="-100"/>
              <w:jc w:val="both"/>
              <w:rPr>
                <w:b/>
                <w:color w:val="000000"/>
                <w:sz w:val="20"/>
                <w:szCs w:val="20"/>
                <w:lang w:eastAsia="en-AU"/>
              </w:rPr>
            </w:pPr>
            <w:r w:rsidRPr="00ED454F">
              <w:rPr>
                <w:b/>
                <w:color w:val="000000"/>
                <w:sz w:val="20"/>
                <w:szCs w:val="20"/>
                <w:lang w:eastAsia="en-AU"/>
              </w:rPr>
              <w:t>Study Design</w:t>
            </w:r>
          </w:p>
        </w:tc>
        <w:tc>
          <w:tcPr>
            <w:tcW w:w="1170" w:type="dxa"/>
            <w:tcBorders>
              <w:top w:val="single" w:sz="4" w:space="0" w:color="auto"/>
              <w:left w:val="nil"/>
              <w:bottom w:val="single" w:sz="4" w:space="0" w:color="auto"/>
              <w:right w:val="nil"/>
            </w:tcBorders>
            <w:shd w:val="clear" w:color="auto" w:fill="auto"/>
            <w:hideMark/>
          </w:tcPr>
          <w:p w14:paraId="28A986DB" w14:textId="77777777" w:rsidR="00BB09D8" w:rsidRPr="00ED454F" w:rsidRDefault="00BB09D8" w:rsidP="003C06EC">
            <w:pPr>
              <w:jc w:val="both"/>
              <w:rPr>
                <w:b/>
                <w:color w:val="000000"/>
                <w:sz w:val="20"/>
                <w:szCs w:val="20"/>
                <w:lang w:eastAsia="en-AU"/>
              </w:rPr>
            </w:pPr>
            <w:r w:rsidRPr="00ED454F">
              <w:rPr>
                <w:b/>
                <w:color w:val="000000"/>
                <w:sz w:val="20"/>
                <w:szCs w:val="20"/>
                <w:lang w:eastAsia="en-AU"/>
              </w:rPr>
              <w:t>Setting</w:t>
            </w:r>
          </w:p>
        </w:tc>
        <w:tc>
          <w:tcPr>
            <w:tcW w:w="990" w:type="dxa"/>
            <w:tcBorders>
              <w:top w:val="single" w:sz="4" w:space="0" w:color="auto"/>
              <w:left w:val="nil"/>
              <w:bottom w:val="single" w:sz="4" w:space="0" w:color="auto"/>
            </w:tcBorders>
            <w:shd w:val="clear" w:color="auto" w:fill="auto"/>
          </w:tcPr>
          <w:p w14:paraId="0AA744F2" w14:textId="77777777" w:rsidR="00BB09D8" w:rsidRPr="00ED454F" w:rsidRDefault="00BB09D8" w:rsidP="003C06EC">
            <w:pPr>
              <w:jc w:val="both"/>
              <w:rPr>
                <w:b/>
                <w:color w:val="000000"/>
                <w:sz w:val="20"/>
                <w:szCs w:val="20"/>
                <w:lang w:eastAsia="en-AU"/>
              </w:rPr>
            </w:pPr>
            <w:r w:rsidRPr="00ED454F">
              <w:rPr>
                <w:b/>
                <w:color w:val="000000"/>
                <w:sz w:val="20"/>
                <w:szCs w:val="20"/>
                <w:lang w:eastAsia="en-AU"/>
              </w:rPr>
              <w:t>Population</w:t>
            </w:r>
          </w:p>
        </w:tc>
        <w:tc>
          <w:tcPr>
            <w:tcW w:w="2700" w:type="dxa"/>
            <w:tcBorders>
              <w:top w:val="single" w:sz="4" w:space="0" w:color="auto"/>
              <w:bottom w:val="single" w:sz="4" w:space="0" w:color="auto"/>
            </w:tcBorders>
            <w:shd w:val="clear" w:color="auto" w:fill="auto"/>
            <w:hideMark/>
          </w:tcPr>
          <w:p w14:paraId="4E0CB308" w14:textId="77777777" w:rsidR="00BB09D8" w:rsidRPr="00ED454F" w:rsidRDefault="00BB09D8" w:rsidP="003C06EC">
            <w:pPr>
              <w:jc w:val="both"/>
              <w:rPr>
                <w:b/>
                <w:color w:val="000000"/>
                <w:sz w:val="20"/>
                <w:szCs w:val="20"/>
                <w:lang w:eastAsia="en-AU"/>
              </w:rPr>
            </w:pPr>
            <w:r w:rsidRPr="00ED454F">
              <w:rPr>
                <w:b/>
                <w:color w:val="000000" w:themeColor="text1"/>
                <w:sz w:val="20"/>
                <w:szCs w:val="20"/>
                <w:lang w:eastAsia="en-AU"/>
              </w:rPr>
              <w:t>Aim(s) of research</w:t>
            </w:r>
          </w:p>
        </w:tc>
        <w:tc>
          <w:tcPr>
            <w:tcW w:w="3127" w:type="dxa"/>
            <w:tcBorders>
              <w:top w:val="single" w:sz="4" w:space="0" w:color="auto"/>
              <w:bottom w:val="single" w:sz="4" w:space="0" w:color="auto"/>
              <w:right w:val="nil"/>
            </w:tcBorders>
            <w:shd w:val="clear" w:color="auto" w:fill="auto"/>
            <w:hideMark/>
          </w:tcPr>
          <w:p w14:paraId="583D1FCF" w14:textId="77777777" w:rsidR="00BB09D8" w:rsidRPr="00ED454F" w:rsidRDefault="00BB09D8" w:rsidP="003C06EC">
            <w:pPr>
              <w:jc w:val="both"/>
              <w:rPr>
                <w:b/>
                <w:color w:val="000000"/>
                <w:sz w:val="20"/>
                <w:szCs w:val="20"/>
                <w:lang w:eastAsia="en-AU"/>
              </w:rPr>
            </w:pPr>
            <w:r w:rsidRPr="00ED454F">
              <w:rPr>
                <w:b/>
                <w:color w:val="000000"/>
                <w:sz w:val="20"/>
                <w:szCs w:val="20"/>
                <w:lang w:eastAsia="en-AU"/>
              </w:rPr>
              <w:t>Course Description</w:t>
            </w:r>
          </w:p>
        </w:tc>
      </w:tr>
      <w:tr w:rsidR="00BB09D8" w:rsidRPr="00ED454F" w14:paraId="45F0DCFF" w14:textId="77777777" w:rsidTr="003C06EC">
        <w:trPr>
          <w:trHeight w:val="864"/>
        </w:trPr>
        <w:tc>
          <w:tcPr>
            <w:tcW w:w="852" w:type="dxa"/>
            <w:tcBorders>
              <w:top w:val="single" w:sz="4" w:space="0" w:color="auto"/>
              <w:left w:val="nil"/>
              <w:bottom w:val="nil"/>
              <w:right w:val="nil"/>
            </w:tcBorders>
            <w:shd w:val="clear" w:color="auto" w:fill="auto"/>
          </w:tcPr>
          <w:p w14:paraId="0626A93D" w14:textId="77777777" w:rsidR="00BB09D8" w:rsidRPr="00ED454F" w:rsidRDefault="00BB09D8" w:rsidP="003C06EC">
            <w:pPr>
              <w:rPr>
                <w:color w:val="000000"/>
                <w:sz w:val="20"/>
                <w:szCs w:val="20"/>
                <w:lang w:eastAsia="en-AU"/>
              </w:rPr>
            </w:pPr>
            <w:proofErr w:type="spellStart"/>
            <w:r w:rsidRPr="00ED454F">
              <w:rPr>
                <w:color w:val="000000"/>
                <w:sz w:val="20"/>
                <w:szCs w:val="20"/>
                <w:lang w:eastAsia="en-AU"/>
              </w:rPr>
              <w:t>Monlezun</w:t>
            </w:r>
            <w:proofErr w:type="spellEnd"/>
            <w:r w:rsidRPr="00ED454F">
              <w:rPr>
                <w:color w:val="000000"/>
                <w:sz w:val="20"/>
                <w:szCs w:val="20"/>
                <w:lang w:eastAsia="en-AU"/>
              </w:rPr>
              <w:t xml:space="preserve"> et al (2015)</w:t>
            </w:r>
          </w:p>
        </w:tc>
        <w:tc>
          <w:tcPr>
            <w:tcW w:w="990" w:type="dxa"/>
            <w:tcBorders>
              <w:top w:val="single" w:sz="4" w:space="0" w:color="auto"/>
              <w:left w:val="nil"/>
              <w:bottom w:val="nil"/>
              <w:right w:val="nil"/>
            </w:tcBorders>
            <w:shd w:val="clear" w:color="auto" w:fill="auto"/>
          </w:tcPr>
          <w:p w14:paraId="143746FB" w14:textId="77777777" w:rsidR="00BB09D8" w:rsidRPr="00ED454F" w:rsidRDefault="00BB09D8" w:rsidP="003C06EC">
            <w:pPr>
              <w:ind w:left="-110"/>
              <w:rPr>
                <w:color w:val="000000"/>
                <w:sz w:val="20"/>
                <w:szCs w:val="20"/>
                <w:lang w:eastAsia="en-AU"/>
              </w:rPr>
            </w:pPr>
            <w:r w:rsidRPr="00ED454F">
              <w:rPr>
                <w:color w:val="000000" w:themeColor="text1"/>
                <w:sz w:val="20"/>
                <w:szCs w:val="20"/>
                <w:lang w:eastAsia="en-AU"/>
              </w:rPr>
              <w:t>Cross-Sectional</w:t>
            </w:r>
          </w:p>
        </w:tc>
        <w:tc>
          <w:tcPr>
            <w:tcW w:w="1170" w:type="dxa"/>
            <w:tcBorders>
              <w:top w:val="single" w:sz="4" w:space="0" w:color="auto"/>
              <w:left w:val="nil"/>
              <w:bottom w:val="nil"/>
              <w:right w:val="nil"/>
            </w:tcBorders>
            <w:shd w:val="clear" w:color="auto" w:fill="auto"/>
          </w:tcPr>
          <w:p w14:paraId="27AAB90B" w14:textId="77777777" w:rsidR="00BB09D8" w:rsidRPr="00ED454F" w:rsidRDefault="00BB09D8" w:rsidP="003C06EC">
            <w:pPr>
              <w:rPr>
                <w:color w:val="000000"/>
                <w:sz w:val="20"/>
                <w:szCs w:val="20"/>
                <w:lang w:eastAsia="en-AU"/>
              </w:rPr>
            </w:pPr>
            <w:r w:rsidRPr="00ED454F">
              <w:rPr>
                <w:color w:val="000000" w:themeColor="text1"/>
                <w:sz w:val="20"/>
                <w:szCs w:val="20"/>
                <w:lang w:eastAsia="en-AU"/>
              </w:rPr>
              <w:t>University Teaching Kitchen and various Community Centres</w:t>
            </w:r>
          </w:p>
        </w:tc>
        <w:tc>
          <w:tcPr>
            <w:tcW w:w="990" w:type="dxa"/>
            <w:tcBorders>
              <w:top w:val="single" w:sz="4" w:space="0" w:color="auto"/>
              <w:left w:val="nil"/>
              <w:bottom w:val="nil"/>
            </w:tcBorders>
            <w:shd w:val="clear" w:color="auto" w:fill="auto"/>
          </w:tcPr>
          <w:p w14:paraId="5B8994C4" w14:textId="77777777" w:rsidR="00BB09D8" w:rsidRPr="00ED454F" w:rsidRDefault="00BB09D8" w:rsidP="003C06EC">
            <w:pPr>
              <w:rPr>
                <w:sz w:val="20"/>
                <w:szCs w:val="20"/>
              </w:rPr>
            </w:pPr>
            <w:r w:rsidRPr="00ED454F">
              <w:rPr>
                <w:sz w:val="20"/>
                <w:szCs w:val="20"/>
              </w:rPr>
              <w:t>Medical students; n=627; Attrition NR; Any year.</w:t>
            </w:r>
          </w:p>
        </w:tc>
        <w:tc>
          <w:tcPr>
            <w:tcW w:w="2700" w:type="dxa"/>
            <w:tcBorders>
              <w:top w:val="single" w:sz="4" w:space="0" w:color="auto"/>
              <w:bottom w:val="nil"/>
            </w:tcBorders>
            <w:shd w:val="clear" w:color="auto" w:fill="auto"/>
          </w:tcPr>
          <w:p w14:paraId="481CFEC4" w14:textId="77777777" w:rsidR="00BB09D8" w:rsidRPr="00ED454F" w:rsidRDefault="00BB09D8" w:rsidP="003C06EC">
            <w:pPr>
              <w:rPr>
                <w:color w:val="000000" w:themeColor="text1"/>
                <w:sz w:val="20"/>
                <w:szCs w:val="20"/>
                <w:lang w:eastAsia="en-AU"/>
              </w:rPr>
            </w:pPr>
            <w:r w:rsidRPr="00ED454F">
              <w:rPr>
                <w:color w:val="000000"/>
                <w:sz w:val="20"/>
                <w:szCs w:val="20"/>
                <w:lang w:eastAsia="en-AU"/>
              </w:rPr>
              <w:t>To investigate superiority of "stimulation based medical education with deliberate practice" style hands-on cooking and nutrition education over traditional clinical education for preventive medicine in a large sample of medical students.</w:t>
            </w:r>
          </w:p>
        </w:tc>
        <w:tc>
          <w:tcPr>
            <w:tcW w:w="3127" w:type="dxa"/>
            <w:tcBorders>
              <w:top w:val="single" w:sz="4" w:space="0" w:color="auto"/>
              <w:bottom w:val="nil"/>
              <w:right w:val="nil"/>
            </w:tcBorders>
            <w:shd w:val="clear" w:color="auto" w:fill="auto"/>
          </w:tcPr>
          <w:p w14:paraId="1B667DB2" w14:textId="77777777" w:rsidR="00BB09D8" w:rsidRPr="00ED454F" w:rsidRDefault="00BB09D8" w:rsidP="003C06EC">
            <w:pPr>
              <w:rPr>
                <w:sz w:val="20"/>
                <w:szCs w:val="20"/>
              </w:rPr>
            </w:pPr>
            <w:r w:rsidRPr="00ED454F">
              <w:rPr>
                <w:sz w:val="20"/>
                <w:szCs w:val="20"/>
              </w:rPr>
              <w:t>8</w:t>
            </w:r>
            <w:r w:rsidRPr="00ED454F" w:rsidDel="00783DFF">
              <w:rPr>
                <w:sz w:val="20"/>
                <w:szCs w:val="20"/>
              </w:rPr>
              <w:t xml:space="preserve"> </w:t>
            </w:r>
            <w:r w:rsidRPr="00ED454F">
              <w:rPr>
                <w:sz w:val="20"/>
                <w:szCs w:val="20"/>
              </w:rPr>
              <w:t>session elective (28 hours total): consisting of PBLs and 0·</w:t>
            </w:r>
            <w:proofErr w:type="gramStart"/>
            <w:r w:rsidRPr="00ED454F">
              <w:rPr>
                <w:sz w:val="20"/>
                <w:szCs w:val="20"/>
              </w:rPr>
              <w:t>5 hour</w:t>
            </w:r>
            <w:proofErr w:type="gramEnd"/>
            <w:r w:rsidRPr="00ED454F">
              <w:rPr>
                <w:sz w:val="20"/>
                <w:szCs w:val="20"/>
              </w:rPr>
              <w:t xml:space="preserve"> pre-module video lecture, pre-module quizzes and quiz review; 1·5 hour hands-on cooking. Program continues into interdisciplinary seminars for Third year medical students and a four week away rotation for Fourth year students. </w:t>
            </w:r>
          </w:p>
        </w:tc>
      </w:tr>
      <w:tr w:rsidR="00BB09D8" w:rsidRPr="00ED454F" w14:paraId="71491A2E" w14:textId="77777777" w:rsidTr="003C06EC">
        <w:trPr>
          <w:trHeight w:val="864"/>
        </w:trPr>
        <w:tc>
          <w:tcPr>
            <w:tcW w:w="852" w:type="dxa"/>
            <w:tcBorders>
              <w:top w:val="nil"/>
              <w:left w:val="nil"/>
              <w:bottom w:val="nil"/>
              <w:right w:val="nil"/>
            </w:tcBorders>
            <w:shd w:val="clear" w:color="auto" w:fill="auto"/>
            <w:hideMark/>
          </w:tcPr>
          <w:p w14:paraId="445AF97B" w14:textId="77777777" w:rsidR="00BB09D8" w:rsidRPr="00ED454F" w:rsidRDefault="00BB09D8" w:rsidP="003C06EC">
            <w:pPr>
              <w:rPr>
                <w:color w:val="000000"/>
                <w:sz w:val="20"/>
                <w:szCs w:val="20"/>
                <w:lang w:eastAsia="en-AU"/>
              </w:rPr>
            </w:pPr>
            <w:proofErr w:type="spellStart"/>
            <w:r w:rsidRPr="00ED454F">
              <w:rPr>
                <w:color w:val="000000"/>
                <w:sz w:val="20"/>
                <w:szCs w:val="20"/>
                <w:lang w:eastAsia="en-AU"/>
              </w:rPr>
              <w:t>Dreibelbis</w:t>
            </w:r>
            <w:proofErr w:type="spellEnd"/>
            <w:r w:rsidRPr="00ED454F">
              <w:rPr>
                <w:color w:val="000000"/>
                <w:sz w:val="20"/>
                <w:szCs w:val="20"/>
                <w:lang w:eastAsia="en-AU"/>
              </w:rPr>
              <w:t xml:space="preserve"> &amp; George (2017)</w:t>
            </w:r>
          </w:p>
        </w:tc>
        <w:tc>
          <w:tcPr>
            <w:tcW w:w="990" w:type="dxa"/>
            <w:tcBorders>
              <w:top w:val="nil"/>
              <w:left w:val="nil"/>
              <w:bottom w:val="nil"/>
              <w:right w:val="nil"/>
            </w:tcBorders>
            <w:shd w:val="clear" w:color="auto" w:fill="auto"/>
            <w:hideMark/>
          </w:tcPr>
          <w:p w14:paraId="7121AB2A" w14:textId="77777777" w:rsidR="00BB09D8" w:rsidRPr="00ED454F" w:rsidRDefault="00BB09D8" w:rsidP="003C06EC">
            <w:pPr>
              <w:ind w:left="-110"/>
              <w:rPr>
                <w:color w:val="000000"/>
                <w:sz w:val="20"/>
                <w:szCs w:val="20"/>
                <w:lang w:eastAsia="en-AU"/>
              </w:rPr>
            </w:pPr>
            <w:r w:rsidRPr="00ED454F">
              <w:rPr>
                <w:color w:val="000000"/>
                <w:sz w:val="20"/>
                <w:szCs w:val="20"/>
                <w:lang w:eastAsia="en-AU"/>
              </w:rPr>
              <w:t>Qualitative</w:t>
            </w:r>
          </w:p>
        </w:tc>
        <w:tc>
          <w:tcPr>
            <w:tcW w:w="1170" w:type="dxa"/>
            <w:tcBorders>
              <w:top w:val="nil"/>
              <w:left w:val="nil"/>
              <w:bottom w:val="nil"/>
              <w:right w:val="nil"/>
            </w:tcBorders>
            <w:shd w:val="clear" w:color="auto" w:fill="auto"/>
            <w:hideMark/>
          </w:tcPr>
          <w:p w14:paraId="33B04F0A" w14:textId="77777777" w:rsidR="00BB09D8" w:rsidRPr="00ED454F" w:rsidRDefault="00BB09D8" w:rsidP="003C06EC">
            <w:pPr>
              <w:rPr>
                <w:color w:val="000000"/>
                <w:sz w:val="20"/>
                <w:szCs w:val="20"/>
                <w:lang w:eastAsia="en-AU"/>
              </w:rPr>
            </w:pPr>
            <w:r w:rsidRPr="00ED454F">
              <w:rPr>
                <w:color w:val="000000"/>
                <w:sz w:val="20"/>
                <w:szCs w:val="20"/>
                <w:lang w:eastAsia="en-AU"/>
              </w:rPr>
              <w:t>Senior Centre Teaching Kitchen</w:t>
            </w:r>
          </w:p>
        </w:tc>
        <w:tc>
          <w:tcPr>
            <w:tcW w:w="990" w:type="dxa"/>
            <w:tcBorders>
              <w:top w:val="nil"/>
              <w:left w:val="nil"/>
              <w:bottom w:val="nil"/>
            </w:tcBorders>
            <w:shd w:val="clear" w:color="auto" w:fill="auto"/>
          </w:tcPr>
          <w:p w14:paraId="0DD4F1F3" w14:textId="77777777" w:rsidR="00BB09D8" w:rsidRPr="00ED454F" w:rsidRDefault="00BB09D8" w:rsidP="003C06EC">
            <w:pPr>
              <w:rPr>
                <w:color w:val="000000"/>
                <w:sz w:val="20"/>
                <w:szCs w:val="20"/>
                <w:lang w:eastAsia="en-AU"/>
              </w:rPr>
            </w:pPr>
            <w:r w:rsidRPr="00ED454F">
              <w:rPr>
                <w:sz w:val="20"/>
                <w:szCs w:val="20"/>
              </w:rPr>
              <w:t>Medical students; n=4; Attrition=0%; 4th year.</w:t>
            </w:r>
          </w:p>
        </w:tc>
        <w:tc>
          <w:tcPr>
            <w:tcW w:w="2700" w:type="dxa"/>
            <w:tcBorders>
              <w:top w:val="nil"/>
              <w:bottom w:val="nil"/>
            </w:tcBorders>
            <w:shd w:val="clear" w:color="auto" w:fill="auto"/>
            <w:hideMark/>
          </w:tcPr>
          <w:p w14:paraId="3D52BD69" w14:textId="77777777" w:rsidR="00BB09D8" w:rsidRPr="00ED454F" w:rsidRDefault="00BB09D8" w:rsidP="003C06EC">
            <w:pPr>
              <w:rPr>
                <w:color w:val="000000"/>
                <w:sz w:val="20"/>
                <w:szCs w:val="20"/>
                <w:lang w:eastAsia="en-AU"/>
              </w:rPr>
            </w:pPr>
            <w:r w:rsidRPr="00ED454F">
              <w:rPr>
                <w:color w:val="000000" w:themeColor="text1"/>
                <w:sz w:val="20"/>
                <w:szCs w:val="20"/>
                <w:lang w:eastAsia="en-AU"/>
              </w:rPr>
              <w:t>To partner Penn State College of Medicine with a senior center and launch a pilot culinary medicine elective with a focus on involving older</w:t>
            </w:r>
            <w:r w:rsidRPr="00ED454F" w:rsidDel="00137F98">
              <w:rPr>
                <w:color w:val="000000" w:themeColor="text1"/>
                <w:sz w:val="20"/>
                <w:szCs w:val="20"/>
                <w:lang w:eastAsia="en-AU"/>
              </w:rPr>
              <w:t xml:space="preserve"> </w:t>
            </w:r>
            <w:r w:rsidRPr="00ED454F">
              <w:rPr>
                <w:color w:val="000000" w:themeColor="text1"/>
                <w:sz w:val="20"/>
                <w:szCs w:val="20"/>
                <w:lang w:eastAsia="en-AU"/>
              </w:rPr>
              <w:t>community residents as intergenerational mentors.</w:t>
            </w:r>
          </w:p>
        </w:tc>
        <w:tc>
          <w:tcPr>
            <w:tcW w:w="3127" w:type="dxa"/>
            <w:tcBorders>
              <w:top w:val="nil"/>
              <w:bottom w:val="nil"/>
              <w:right w:val="nil"/>
            </w:tcBorders>
            <w:shd w:val="clear" w:color="auto" w:fill="auto"/>
            <w:hideMark/>
          </w:tcPr>
          <w:p w14:paraId="2A393F96" w14:textId="77777777" w:rsidR="00BB09D8" w:rsidRPr="00ED454F" w:rsidRDefault="00BB09D8" w:rsidP="003C06EC">
            <w:pPr>
              <w:rPr>
                <w:sz w:val="20"/>
                <w:szCs w:val="20"/>
                <w:lang w:eastAsia="en-AU"/>
              </w:rPr>
            </w:pPr>
            <w:r w:rsidRPr="00ED454F">
              <w:rPr>
                <w:sz w:val="20"/>
                <w:szCs w:val="20"/>
              </w:rPr>
              <w:t xml:space="preserve">8 session </w:t>
            </w:r>
            <w:proofErr w:type="gramStart"/>
            <w:r w:rsidRPr="00ED454F">
              <w:rPr>
                <w:sz w:val="20"/>
                <w:szCs w:val="20"/>
              </w:rPr>
              <w:t>elective</w:t>
            </w:r>
            <w:proofErr w:type="gramEnd"/>
            <w:r w:rsidRPr="00ED454F">
              <w:rPr>
                <w:sz w:val="20"/>
                <w:szCs w:val="20"/>
              </w:rPr>
              <w:t xml:space="preserve">: (3 hours each) in a 2-week program consisting of in-person case-based discussions for 1 hour; collaborative cooking for 2 hours with elder mentor, pre-class readings, pre-session standardised quizzes and 2 hands-on culinary skills lessons with professional chef facilitator. </w:t>
            </w:r>
          </w:p>
        </w:tc>
      </w:tr>
      <w:tr w:rsidR="00BB09D8" w:rsidRPr="00ED454F" w14:paraId="3E1F31F1" w14:textId="77777777" w:rsidTr="003C06EC">
        <w:trPr>
          <w:trHeight w:val="2205"/>
        </w:trPr>
        <w:tc>
          <w:tcPr>
            <w:tcW w:w="852" w:type="dxa"/>
            <w:tcBorders>
              <w:top w:val="nil"/>
              <w:left w:val="nil"/>
              <w:bottom w:val="nil"/>
            </w:tcBorders>
            <w:shd w:val="clear" w:color="auto" w:fill="auto"/>
            <w:hideMark/>
          </w:tcPr>
          <w:p w14:paraId="1C7E5BDC" w14:textId="77777777" w:rsidR="00BB09D8" w:rsidRPr="00ED454F" w:rsidRDefault="00BB09D8" w:rsidP="003C06EC">
            <w:pPr>
              <w:rPr>
                <w:color w:val="000000"/>
                <w:sz w:val="20"/>
                <w:szCs w:val="20"/>
                <w:lang w:eastAsia="en-AU"/>
              </w:rPr>
            </w:pPr>
            <w:proofErr w:type="spellStart"/>
            <w:r w:rsidRPr="00ED454F">
              <w:rPr>
                <w:color w:val="000000"/>
                <w:sz w:val="20"/>
                <w:szCs w:val="20"/>
                <w:lang w:eastAsia="en-AU"/>
              </w:rPr>
              <w:t>Jaroudi</w:t>
            </w:r>
            <w:proofErr w:type="spellEnd"/>
            <w:r w:rsidRPr="00ED454F">
              <w:rPr>
                <w:color w:val="000000"/>
                <w:sz w:val="20"/>
                <w:szCs w:val="20"/>
                <w:lang w:eastAsia="en-AU"/>
              </w:rPr>
              <w:t xml:space="preserve"> et al (2018)</w:t>
            </w:r>
          </w:p>
        </w:tc>
        <w:tc>
          <w:tcPr>
            <w:tcW w:w="990" w:type="dxa"/>
            <w:tcBorders>
              <w:top w:val="nil"/>
              <w:bottom w:val="nil"/>
            </w:tcBorders>
            <w:shd w:val="clear" w:color="auto" w:fill="auto"/>
            <w:hideMark/>
          </w:tcPr>
          <w:p w14:paraId="3696D838" w14:textId="77777777" w:rsidR="00BB09D8" w:rsidRPr="00ED454F" w:rsidRDefault="00BB09D8" w:rsidP="003C06EC">
            <w:pPr>
              <w:ind w:left="-110"/>
              <w:rPr>
                <w:color w:val="000000"/>
                <w:sz w:val="20"/>
                <w:szCs w:val="20"/>
                <w:lang w:eastAsia="en-AU"/>
              </w:rPr>
            </w:pPr>
            <w:r w:rsidRPr="00ED454F">
              <w:rPr>
                <w:color w:val="000000"/>
                <w:sz w:val="20"/>
                <w:szCs w:val="20"/>
                <w:lang w:eastAsia="en-AU"/>
              </w:rPr>
              <w:t>Prospective Case Series</w:t>
            </w:r>
          </w:p>
        </w:tc>
        <w:tc>
          <w:tcPr>
            <w:tcW w:w="1170" w:type="dxa"/>
            <w:tcBorders>
              <w:top w:val="nil"/>
              <w:bottom w:val="nil"/>
            </w:tcBorders>
            <w:shd w:val="clear" w:color="auto" w:fill="auto"/>
            <w:hideMark/>
          </w:tcPr>
          <w:p w14:paraId="53F1B941" w14:textId="77777777" w:rsidR="00BB09D8" w:rsidRPr="00ED454F" w:rsidRDefault="00BB09D8" w:rsidP="003C06EC">
            <w:pPr>
              <w:rPr>
                <w:color w:val="000000"/>
                <w:sz w:val="20"/>
                <w:szCs w:val="20"/>
                <w:lang w:eastAsia="en-AU"/>
              </w:rPr>
            </w:pPr>
            <w:r w:rsidRPr="00ED454F">
              <w:rPr>
                <w:color w:val="000000"/>
                <w:sz w:val="20"/>
                <w:szCs w:val="20"/>
                <w:lang w:eastAsia="en-AU"/>
              </w:rPr>
              <w:t>University Lecture Hall and University Cooking Lab</w:t>
            </w:r>
          </w:p>
        </w:tc>
        <w:tc>
          <w:tcPr>
            <w:tcW w:w="990" w:type="dxa"/>
            <w:tcBorders>
              <w:top w:val="nil"/>
              <w:bottom w:val="nil"/>
            </w:tcBorders>
            <w:shd w:val="clear" w:color="auto" w:fill="auto"/>
          </w:tcPr>
          <w:p w14:paraId="7B5CD571" w14:textId="77777777" w:rsidR="00BB09D8" w:rsidRPr="00ED454F" w:rsidRDefault="00BB09D8" w:rsidP="003C06EC">
            <w:pPr>
              <w:rPr>
                <w:color w:val="000000"/>
                <w:sz w:val="20"/>
                <w:szCs w:val="20"/>
                <w:lang w:eastAsia="en-AU"/>
              </w:rPr>
            </w:pPr>
            <w:r w:rsidRPr="00ED454F">
              <w:rPr>
                <w:sz w:val="20"/>
                <w:szCs w:val="20"/>
              </w:rPr>
              <w:t>Medical students; n=20; Attrition=15%; 1st and 2nd year.</w:t>
            </w:r>
          </w:p>
        </w:tc>
        <w:tc>
          <w:tcPr>
            <w:tcW w:w="2700" w:type="dxa"/>
            <w:tcBorders>
              <w:top w:val="nil"/>
              <w:bottom w:val="nil"/>
            </w:tcBorders>
            <w:shd w:val="clear" w:color="auto" w:fill="auto"/>
            <w:hideMark/>
          </w:tcPr>
          <w:p w14:paraId="3375404B" w14:textId="77777777" w:rsidR="00BB09D8" w:rsidRPr="00ED454F" w:rsidRDefault="00BB09D8" w:rsidP="003C06EC">
            <w:pPr>
              <w:rPr>
                <w:color w:val="000000"/>
                <w:sz w:val="20"/>
                <w:szCs w:val="20"/>
                <w:lang w:eastAsia="en-AU"/>
              </w:rPr>
            </w:pPr>
            <w:r w:rsidRPr="00ED454F">
              <w:rPr>
                <w:color w:val="000000" w:themeColor="text1"/>
                <w:sz w:val="20"/>
                <w:szCs w:val="20"/>
                <w:lang w:eastAsia="en-AU"/>
              </w:rPr>
              <w:t>To develop and implement a culinary medicine elective into Texas Tech Universities Medical Program to equip students with confidence in knowledge and skills in culinary medicine concepts and to improve physician's integration of preventative medicine into patient care proficiency.</w:t>
            </w:r>
          </w:p>
        </w:tc>
        <w:tc>
          <w:tcPr>
            <w:tcW w:w="3127" w:type="dxa"/>
            <w:tcBorders>
              <w:top w:val="nil"/>
              <w:bottom w:val="nil"/>
              <w:right w:val="nil"/>
            </w:tcBorders>
            <w:shd w:val="clear" w:color="auto" w:fill="auto"/>
            <w:hideMark/>
          </w:tcPr>
          <w:p w14:paraId="34305AFC" w14:textId="77777777" w:rsidR="00BB09D8" w:rsidRPr="00ED454F" w:rsidRDefault="00BB09D8" w:rsidP="003C06EC">
            <w:pPr>
              <w:rPr>
                <w:sz w:val="20"/>
                <w:szCs w:val="20"/>
                <w:lang w:eastAsia="en-AU"/>
              </w:rPr>
            </w:pPr>
            <w:r w:rsidRPr="00ED454F">
              <w:rPr>
                <w:sz w:val="20"/>
                <w:szCs w:val="20"/>
              </w:rPr>
              <w:t>Elective course: duration or schedule NR; consisting of four</w:t>
            </w:r>
            <w:r w:rsidRPr="00ED454F" w:rsidDel="006051E4">
              <w:rPr>
                <w:sz w:val="20"/>
                <w:szCs w:val="20"/>
              </w:rPr>
              <w:t xml:space="preserve"> </w:t>
            </w:r>
            <w:r w:rsidRPr="00ED454F">
              <w:rPr>
                <w:sz w:val="20"/>
                <w:szCs w:val="20"/>
              </w:rPr>
              <w:t xml:space="preserve">didactic sessions and four interactive kitchen-based labs during </w:t>
            </w:r>
            <w:r w:rsidRPr="00ED454F" w:rsidDel="00A23434">
              <w:rPr>
                <w:sz w:val="20"/>
                <w:szCs w:val="20"/>
              </w:rPr>
              <w:t xml:space="preserve">the </w:t>
            </w:r>
            <w:r w:rsidRPr="00ED454F">
              <w:rPr>
                <w:sz w:val="20"/>
                <w:szCs w:val="20"/>
              </w:rPr>
              <w:t>semester; delivered by</w:t>
            </w:r>
            <w:r w:rsidRPr="00ED454F" w:rsidDel="006051E4">
              <w:rPr>
                <w:sz w:val="20"/>
                <w:szCs w:val="20"/>
              </w:rPr>
              <w:t xml:space="preserve"> </w:t>
            </w:r>
            <w:r w:rsidRPr="00ED454F">
              <w:rPr>
                <w:sz w:val="20"/>
                <w:szCs w:val="20"/>
              </w:rPr>
              <w:t>local chefs, other medical students, and hospital dietitians.</w:t>
            </w:r>
          </w:p>
        </w:tc>
      </w:tr>
      <w:tr w:rsidR="00BB09D8" w:rsidRPr="00ED454F" w14:paraId="1A857324" w14:textId="77777777" w:rsidTr="003C06EC">
        <w:trPr>
          <w:trHeight w:val="864"/>
        </w:trPr>
        <w:tc>
          <w:tcPr>
            <w:tcW w:w="852" w:type="dxa"/>
            <w:tcBorders>
              <w:top w:val="nil"/>
              <w:left w:val="nil"/>
              <w:bottom w:val="nil"/>
            </w:tcBorders>
            <w:shd w:val="clear" w:color="auto" w:fill="auto"/>
            <w:hideMark/>
          </w:tcPr>
          <w:p w14:paraId="4DCBAD76" w14:textId="77777777" w:rsidR="00BB09D8" w:rsidRPr="00ED454F" w:rsidRDefault="00BB09D8" w:rsidP="003C06EC">
            <w:pPr>
              <w:rPr>
                <w:color w:val="000000"/>
                <w:sz w:val="20"/>
                <w:szCs w:val="20"/>
                <w:lang w:eastAsia="en-AU"/>
              </w:rPr>
            </w:pPr>
            <w:proofErr w:type="spellStart"/>
            <w:r w:rsidRPr="00ED454F">
              <w:rPr>
                <w:color w:val="000000" w:themeColor="text1"/>
                <w:sz w:val="20"/>
                <w:szCs w:val="20"/>
                <w:lang w:eastAsia="en-AU"/>
              </w:rPr>
              <w:t>Monlezun</w:t>
            </w:r>
            <w:proofErr w:type="spellEnd"/>
            <w:r w:rsidRPr="00ED454F">
              <w:rPr>
                <w:color w:val="000000" w:themeColor="text1"/>
                <w:sz w:val="20"/>
                <w:szCs w:val="20"/>
                <w:lang w:eastAsia="en-AU"/>
              </w:rPr>
              <w:t xml:space="preserve"> et al (2018)</w:t>
            </w:r>
          </w:p>
        </w:tc>
        <w:tc>
          <w:tcPr>
            <w:tcW w:w="990" w:type="dxa"/>
            <w:tcBorders>
              <w:top w:val="nil"/>
              <w:bottom w:val="nil"/>
            </w:tcBorders>
            <w:shd w:val="clear" w:color="auto" w:fill="auto"/>
            <w:hideMark/>
          </w:tcPr>
          <w:p w14:paraId="19CA6994" w14:textId="77777777" w:rsidR="00BB09D8" w:rsidRPr="00ED454F" w:rsidRDefault="00BB09D8" w:rsidP="003C06EC">
            <w:pPr>
              <w:ind w:left="-110"/>
              <w:rPr>
                <w:color w:val="000000"/>
                <w:sz w:val="20"/>
                <w:szCs w:val="20"/>
                <w:lang w:eastAsia="en-AU"/>
              </w:rPr>
            </w:pPr>
            <w:r w:rsidRPr="00ED454F">
              <w:rPr>
                <w:color w:val="000000" w:themeColor="text1"/>
                <w:sz w:val="20"/>
                <w:szCs w:val="20"/>
                <w:lang w:eastAsia="en-AU"/>
              </w:rPr>
              <w:t>Cross-Sectional</w:t>
            </w:r>
          </w:p>
        </w:tc>
        <w:tc>
          <w:tcPr>
            <w:tcW w:w="1170" w:type="dxa"/>
            <w:tcBorders>
              <w:top w:val="nil"/>
              <w:bottom w:val="nil"/>
            </w:tcBorders>
            <w:shd w:val="clear" w:color="auto" w:fill="auto"/>
            <w:hideMark/>
          </w:tcPr>
          <w:p w14:paraId="054100DA" w14:textId="77777777" w:rsidR="00BB09D8" w:rsidRPr="00ED454F" w:rsidRDefault="00BB09D8" w:rsidP="003C06EC">
            <w:pPr>
              <w:spacing w:line="259" w:lineRule="auto"/>
              <w:ind w:left="-110"/>
              <w:rPr>
                <w:color w:val="000000" w:themeColor="text1"/>
                <w:sz w:val="20"/>
                <w:szCs w:val="20"/>
                <w:lang w:eastAsia="en-AU"/>
              </w:rPr>
            </w:pPr>
            <w:r w:rsidRPr="00ED454F">
              <w:rPr>
                <w:color w:val="000000" w:themeColor="text1"/>
                <w:sz w:val="20"/>
                <w:szCs w:val="20"/>
                <w:lang w:eastAsia="en-AU"/>
              </w:rPr>
              <w:t>Varied Based</w:t>
            </w:r>
            <w:r w:rsidRPr="00ED454F" w:rsidDel="000B39AB">
              <w:rPr>
                <w:color w:val="000000" w:themeColor="text1"/>
                <w:sz w:val="20"/>
                <w:szCs w:val="20"/>
                <w:lang w:eastAsia="en-AU"/>
              </w:rPr>
              <w:t xml:space="preserve"> </w:t>
            </w:r>
            <w:r w:rsidRPr="00ED454F">
              <w:rPr>
                <w:color w:val="000000" w:themeColor="text1"/>
                <w:sz w:val="20"/>
                <w:szCs w:val="20"/>
                <w:lang w:eastAsia="en-AU"/>
              </w:rPr>
              <w:t>on Institution</w:t>
            </w:r>
          </w:p>
          <w:p w14:paraId="29CA5382" w14:textId="77777777" w:rsidR="00BB09D8" w:rsidRPr="00ED454F" w:rsidRDefault="00BB09D8" w:rsidP="003C06EC">
            <w:pPr>
              <w:rPr>
                <w:color w:val="000000"/>
                <w:sz w:val="20"/>
                <w:szCs w:val="20"/>
                <w:lang w:eastAsia="en-AU"/>
              </w:rPr>
            </w:pPr>
          </w:p>
        </w:tc>
        <w:tc>
          <w:tcPr>
            <w:tcW w:w="990" w:type="dxa"/>
            <w:tcBorders>
              <w:top w:val="nil"/>
              <w:bottom w:val="nil"/>
            </w:tcBorders>
            <w:shd w:val="clear" w:color="auto" w:fill="auto"/>
          </w:tcPr>
          <w:p w14:paraId="51F2716D" w14:textId="77777777" w:rsidR="00BB09D8" w:rsidRPr="00ED454F" w:rsidRDefault="00BB09D8" w:rsidP="003C06EC">
            <w:pPr>
              <w:rPr>
                <w:color w:val="000000"/>
                <w:sz w:val="20"/>
                <w:szCs w:val="20"/>
                <w:lang w:eastAsia="en-AU"/>
              </w:rPr>
            </w:pPr>
            <w:r w:rsidRPr="00ED454F">
              <w:rPr>
                <w:sz w:val="20"/>
                <w:szCs w:val="20"/>
              </w:rPr>
              <w:t>Medical students; n=3248; Attrition NR.</w:t>
            </w:r>
          </w:p>
        </w:tc>
        <w:tc>
          <w:tcPr>
            <w:tcW w:w="2700" w:type="dxa"/>
            <w:tcBorders>
              <w:top w:val="nil"/>
              <w:bottom w:val="nil"/>
            </w:tcBorders>
            <w:shd w:val="clear" w:color="auto" w:fill="auto"/>
            <w:hideMark/>
          </w:tcPr>
          <w:p w14:paraId="5CF63C36" w14:textId="77777777" w:rsidR="00BB09D8" w:rsidRPr="00ED454F" w:rsidRDefault="00BB09D8" w:rsidP="003C06EC">
            <w:pPr>
              <w:rPr>
                <w:color w:val="000000"/>
                <w:sz w:val="20"/>
                <w:szCs w:val="20"/>
                <w:lang w:eastAsia="en-AU"/>
              </w:rPr>
            </w:pPr>
            <w:r w:rsidRPr="00ED454F">
              <w:rPr>
                <w:color w:val="000000" w:themeColor="text1"/>
                <w:sz w:val="20"/>
                <w:szCs w:val="20"/>
                <w:lang w:eastAsia="en-AU"/>
              </w:rPr>
              <w:t>To determine if hands-on cooking and nutrition education for medical students can have inferred causality for improved student competencies and attitudes towards providing patients with nutrition education, students' own diet and if such a program could be scalable.</w:t>
            </w:r>
          </w:p>
        </w:tc>
        <w:tc>
          <w:tcPr>
            <w:tcW w:w="3127" w:type="dxa"/>
            <w:tcBorders>
              <w:top w:val="nil"/>
              <w:bottom w:val="nil"/>
              <w:right w:val="nil"/>
            </w:tcBorders>
            <w:shd w:val="clear" w:color="auto" w:fill="auto"/>
            <w:hideMark/>
          </w:tcPr>
          <w:p w14:paraId="6D70C6BF" w14:textId="77777777" w:rsidR="00BB09D8" w:rsidRPr="00ED454F" w:rsidRDefault="00BB09D8" w:rsidP="003C06EC">
            <w:pPr>
              <w:rPr>
                <w:color w:val="000000"/>
                <w:sz w:val="20"/>
                <w:szCs w:val="20"/>
                <w:lang w:eastAsia="en-AU"/>
              </w:rPr>
            </w:pPr>
            <w:r w:rsidRPr="00ED454F">
              <w:rPr>
                <w:sz w:val="20"/>
                <w:szCs w:val="20"/>
              </w:rPr>
              <w:t>8</w:t>
            </w:r>
            <w:r w:rsidRPr="00ED454F" w:rsidDel="00783DFF">
              <w:rPr>
                <w:sz w:val="20"/>
                <w:szCs w:val="20"/>
              </w:rPr>
              <w:t xml:space="preserve"> </w:t>
            </w:r>
            <w:r w:rsidRPr="00ED454F">
              <w:rPr>
                <w:sz w:val="20"/>
                <w:szCs w:val="20"/>
              </w:rPr>
              <w:t>session elective (22 hours total): consisting of 0·</w:t>
            </w:r>
            <w:proofErr w:type="gramStart"/>
            <w:r w:rsidRPr="00ED454F">
              <w:rPr>
                <w:sz w:val="20"/>
                <w:szCs w:val="20"/>
              </w:rPr>
              <w:t>5 hour</w:t>
            </w:r>
            <w:proofErr w:type="gramEnd"/>
            <w:r w:rsidRPr="00ED454F">
              <w:rPr>
                <w:sz w:val="20"/>
                <w:szCs w:val="20"/>
              </w:rPr>
              <w:t xml:space="preserve"> pre-class online lecture videos, a 1·5 hours hands-on cooking, and a 0·75 hour post-class PBL session; delivered through CHOP instructors (variable based on institution implanting the program. </w:t>
            </w:r>
          </w:p>
        </w:tc>
      </w:tr>
      <w:tr w:rsidR="00BB09D8" w:rsidRPr="00ED454F" w14:paraId="2DA2723F" w14:textId="77777777" w:rsidTr="003C06EC">
        <w:trPr>
          <w:trHeight w:val="864"/>
        </w:trPr>
        <w:tc>
          <w:tcPr>
            <w:tcW w:w="852" w:type="dxa"/>
            <w:tcBorders>
              <w:top w:val="nil"/>
              <w:left w:val="nil"/>
              <w:bottom w:val="nil"/>
            </w:tcBorders>
            <w:shd w:val="clear" w:color="auto" w:fill="auto"/>
            <w:hideMark/>
          </w:tcPr>
          <w:p w14:paraId="0C9EF955" w14:textId="77777777" w:rsidR="00BB09D8" w:rsidRPr="00ED454F" w:rsidRDefault="00BB09D8" w:rsidP="003C06EC">
            <w:pPr>
              <w:rPr>
                <w:color w:val="000000"/>
                <w:sz w:val="20"/>
                <w:szCs w:val="20"/>
                <w:lang w:eastAsia="en-AU"/>
              </w:rPr>
            </w:pPr>
            <w:r w:rsidRPr="00ED454F">
              <w:rPr>
                <w:color w:val="000000"/>
                <w:sz w:val="20"/>
                <w:szCs w:val="20"/>
                <w:lang w:eastAsia="en-AU"/>
              </w:rPr>
              <w:t>Hauser et al (2019)</w:t>
            </w:r>
          </w:p>
        </w:tc>
        <w:tc>
          <w:tcPr>
            <w:tcW w:w="990" w:type="dxa"/>
            <w:tcBorders>
              <w:top w:val="nil"/>
              <w:bottom w:val="nil"/>
            </w:tcBorders>
            <w:shd w:val="clear" w:color="auto" w:fill="auto"/>
            <w:hideMark/>
          </w:tcPr>
          <w:p w14:paraId="49CFEFC5" w14:textId="77777777" w:rsidR="00BB09D8" w:rsidRPr="00ED454F" w:rsidRDefault="00BB09D8" w:rsidP="003C06EC">
            <w:pPr>
              <w:ind w:left="-110"/>
              <w:rPr>
                <w:color w:val="000000"/>
                <w:sz w:val="20"/>
                <w:szCs w:val="20"/>
                <w:lang w:eastAsia="en-AU"/>
              </w:rPr>
            </w:pPr>
            <w:r w:rsidRPr="00ED454F">
              <w:rPr>
                <w:color w:val="000000"/>
                <w:sz w:val="20"/>
                <w:szCs w:val="20"/>
                <w:lang w:eastAsia="en-AU"/>
              </w:rPr>
              <w:t>Qualitative</w:t>
            </w:r>
          </w:p>
        </w:tc>
        <w:tc>
          <w:tcPr>
            <w:tcW w:w="1170" w:type="dxa"/>
            <w:tcBorders>
              <w:top w:val="nil"/>
              <w:bottom w:val="nil"/>
            </w:tcBorders>
            <w:shd w:val="clear" w:color="auto" w:fill="auto"/>
            <w:hideMark/>
          </w:tcPr>
          <w:p w14:paraId="492E33C1" w14:textId="77777777" w:rsidR="00BB09D8" w:rsidRPr="00ED454F" w:rsidRDefault="00BB09D8" w:rsidP="003C06EC">
            <w:pPr>
              <w:rPr>
                <w:color w:val="000000"/>
                <w:sz w:val="20"/>
                <w:szCs w:val="20"/>
                <w:lang w:eastAsia="en-AU"/>
              </w:rPr>
            </w:pPr>
            <w:r w:rsidRPr="00ED454F">
              <w:rPr>
                <w:color w:val="000000"/>
                <w:sz w:val="20"/>
                <w:szCs w:val="20"/>
                <w:lang w:eastAsia="en-AU"/>
              </w:rPr>
              <w:t>Offsite Commercial Kitchen</w:t>
            </w:r>
          </w:p>
        </w:tc>
        <w:tc>
          <w:tcPr>
            <w:tcW w:w="990" w:type="dxa"/>
            <w:tcBorders>
              <w:top w:val="nil"/>
              <w:bottom w:val="nil"/>
            </w:tcBorders>
            <w:shd w:val="clear" w:color="auto" w:fill="auto"/>
          </w:tcPr>
          <w:p w14:paraId="0C844F21" w14:textId="77777777" w:rsidR="00BB09D8" w:rsidRPr="00ED454F" w:rsidRDefault="00BB09D8" w:rsidP="003C06EC">
            <w:pPr>
              <w:rPr>
                <w:color w:val="000000"/>
                <w:sz w:val="20"/>
                <w:szCs w:val="20"/>
                <w:lang w:eastAsia="en-AU"/>
              </w:rPr>
            </w:pPr>
            <w:r w:rsidRPr="00ED454F">
              <w:rPr>
                <w:sz w:val="20"/>
                <w:szCs w:val="20"/>
              </w:rPr>
              <w:t>Medical students, Physician assistant students; n=36; Attrition NR; Any year.</w:t>
            </w:r>
          </w:p>
        </w:tc>
        <w:tc>
          <w:tcPr>
            <w:tcW w:w="2700" w:type="dxa"/>
            <w:tcBorders>
              <w:top w:val="nil"/>
              <w:bottom w:val="nil"/>
            </w:tcBorders>
            <w:shd w:val="clear" w:color="auto" w:fill="auto"/>
            <w:hideMark/>
          </w:tcPr>
          <w:p w14:paraId="4ADC5A90" w14:textId="77777777" w:rsidR="00BB09D8" w:rsidRPr="00ED454F" w:rsidRDefault="00BB09D8" w:rsidP="003C06EC">
            <w:pPr>
              <w:rPr>
                <w:color w:val="000000"/>
                <w:sz w:val="20"/>
                <w:szCs w:val="20"/>
                <w:lang w:eastAsia="en-AU"/>
              </w:rPr>
            </w:pPr>
            <w:r w:rsidRPr="00ED454F">
              <w:rPr>
                <w:color w:val="000000" w:themeColor="text1"/>
                <w:sz w:val="20"/>
                <w:szCs w:val="20"/>
                <w:lang w:eastAsia="en-AU"/>
              </w:rPr>
              <w:t>To produce a Teaching Kitchen Elective for medical students that focuses on hands-on culinary techniques, dietary counselling for patients to overcome medical graduates</w:t>
            </w:r>
            <w:r>
              <w:rPr>
                <w:color w:val="000000" w:themeColor="text1"/>
                <w:sz w:val="20"/>
                <w:szCs w:val="20"/>
                <w:lang w:eastAsia="en-AU"/>
              </w:rPr>
              <w:t>'</w:t>
            </w:r>
            <w:r w:rsidRPr="00ED454F">
              <w:rPr>
                <w:color w:val="000000" w:themeColor="text1"/>
                <w:sz w:val="20"/>
                <w:szCs w:val="20"/>
                <w:lang w:eastAsia="en-AU"/>
              </w:rPr>
              <w:t xml:space="preserve"> lack of confidence in nutrition counselling, </w:t>
            </w:r>
            <w:proofErr w:type="gramStart"/>
            <w:r w:rsidRPr="00ED454F">
              <w:rPr>
                <w:color w:val="000000" w:themeColor="text1"/>
                <w:sz w:val="20"/>
                <w:szCs w:val="20"/>
                <w:lang w:eastAsia="en-AU"/>
              </w:rPr>
              <w:t>self-care</w:t>
            </w:r>
            <w:proofErr w:type="gramEnd"/>
            <w:r w:rsidRPr="00ED454F">
              <w:rPr>
                <w:color w:val="000000" w:themeColor="text1"/>
                <w:sz w:val="20"/>
                <w:szCs w:val="20"/>
                <w:lang w:eastAsia="en-AU"/>
              </w:rPr>
              <w:t xml:space="preserve"> and culinary skills.</w:t>
            </w:r>
          </w:p>
        </w:tc>
        <w:tc>
          <w:tcPr>
            <w:tcW w:w="3127" w:type="dxa"/>
            <w:tcBorders>
              <w:top w:val="nil"/>
              <w:bottom w:val="nil"/>
              <w:right w:val="nil"/>
            </w:tcBorders>
            <w:shd w:val="clear" w:color="auto" w:fill="auto"/>
            <w:hideMark/>
          </w:tcPr>
          <w:p w14:paraId="028B1B49" w14:textId="77777777" w:rsidR="00BB09D8" w:rsidRPr="00ED454F" w:rsidRDefault="00BB09D8" w:rsidP="003C06EC">
            <w:pPr>
              <w:rPr>
                <w:sz w:val="20"/>
                <w:szCs w:val="20"/>
                <w:lang w:eastAsia="en-AU"/>
              </w:rPr>
            </w:pPr>
            <w:r w:rsidRPr="00ED454F">
              <w:rPr>
                <w:sz w:val="20"/>
                <w:szCs w:val="20"/>
              </w:rPr>
              <w:t xml:space="preserve">8 session elective (2 hours each): consisting of weekly pre-class videos and handouts; hands-on culinary skills lessons, case-based round table group discussions and recipe-based assignments; delivered by 2 physician-chefs, an executive chef, external professors specialising in medical education, nutrition and prevention research </w:t>
            </w:r>
            <w:r w:rsidRPr="00ED454F">
              <w:rPr>
                <w:sz w:val="20"/>
                <w:szCs w:val="20"/>
              </w:rPr>
              <w:lastRenderedPageBreak/>
              <w:t>and a variety of specialty faculty members</w:t>
            </w:r>
            <w:r w:rsidRPr="00ED454F" w:rsidDel="00FA7E1D">
              <w:rPr>
                <w:sz w:val="20"/>
                <w:szCs w:val="20"/>
              </w:rPr>
              <w:t xml:space="preserve"> </w:t>
            </w:r>
            <w:r w:rsidRPr="00ED454F">
              <w:rPr>
                <w:sz w:val="20"/>
                <w:szCs w:val="20"/>
              </w:rPr>
              <w:t>faculty members.</w:t>
            </w:r>
          </w:p>
        </w:tc>
      </w:tr>
      <w:tr w:rsidR="00BB09D8" w:rsidRPr="00ED454F" w14:paraId="7445DF72" w14:textId="77777777" w:rsidTr="003C06EC">
        <w:trPr>
          <w:trHeight w:val="864"/>
        </w:trPr>
        <w:tc>
          <w:tcPr>
            <w:tcW w:w="852" w:type="dxa"/>
            <w:tcBorders>
              <w:top w:val="nil"/>
              <w:left w:val="nil"/>
              <w:bottom w:val="nil"/>
            </w:tcBorders>
            <w:shd w:val="clear" w:color="auto" w:fill="auto"/>
            <w:hideMark/>
          </w:tcPr>
          <w:p w14:paraId="4C05B39B" w14:textId="77777777" w:rsidR="00BB09D8" w:rsidRPr="00ED454F" w:rsidRDefault="00BB09D8" w:rsidP="003C06EC">
            <w:pPr>
              <w:rPr>
                <w:color w:val="000000"/>
                <w:sz w:val="20"/>
                <w:szCs w:val="20"/>
                <w:lang w:eastAsia="en-AU"/>
              </w:rPr>
            </w:pPr>
            <w:r w:rsidRPr="00ED454F">
              <w:rPr>
                <w:color w:val="000000"/>
                <w:sz w:val="20"/>
                <w:szCs w:val="20"/>
                <w:lang w:eastAsia="en-AU"/>
              </w:rPr>
              <w:lastRenderedPageBreak/>
              <w:t>Lawrence et al (2019)</w:t>
            </w:r>
          </w:p>
        </w:tc>
        <w:tc>
          <w:tcPr>
            <w:tcW w:w="990" w:type="dxa"/>
            <w:tcBorders>
              <w:top w:val="nil"/>
              <w:bottom w:val="nil"/>
            </w:tcBorders>
            <w:shd w:val="clear" w:color="auto" w:fill="auto"/>
            <w:hideMark/>
          </w:tcPr>
          <w:p w14:paraId="11C80E30" w14:textId="77777777" w:rsidR="00BB09D8" w:rsidRPr="00ED454F" w:rsidRDefault="00BB09D8" w:rsidP="003C06EC">
            <w:pPr>
              <w:ind w:left="-110"/>
              <w:rPr>
                <w:color w:val="000000"/>
                <w:sz w:val="20"/>
                <w:szCs w:val="20"/>
                <w:lang w:eastAsia="en-AU"/>
              </w:rPr>
            </w:pPr>
            <w:r w:rsidRPr="00ED454F">
              <w:rPr>
                <w:color w:val="000000"/>
                <w:sz w:val="20"/>
                <w:szCs w:val="20"/>
                <w:lang w:eastAsia="en-AU"/>
              </w:rPr>
              <w:t>Prospective Case Series</w:t>
            </w:r>
          </w:p>
        </w:tc>
        <w:tc>
          <w:tcPr>
            <w:tcW w:w="1170" w:type="dxa"/>
            <w:tcBorders>
              <w:top w:val="nil"/>
              <w:bottom w:val="nil"/>
            </w:tcBorders>
            <w:shd w:val="clear" w:color="auto" w:fill="auto"/>
            <w:hideMark/>
          </w:tcPr>
          <w:p w14:paraId="42D508DA" w14:textId="77777777" w:rsidR="00BB09D8" w:rsidRPr="00ED454F" w:rsidRDefault="00BB09D8" w:rsidP="003C06EC">
            <w:pPr>
              <w:rPr>
                <w:color w:val="000000"/>
                <w:sz w:val="20"/>
                <w:szCs w:val="20"/>
                <w:lang w:eastAsia="en-AU"/>
              </w:rPr>
            </w:pPr>
            <w:r w:rsidRPr="00ED454F">
              <w:rPr>
                <w:color w:val="000000"/>
                <w:sz w:val="20"/>
                <w:szCs w:val="20"/>
                <w:lang w:eastAsia="en-AU"/>
              </w:rPr>
              <w:t>University Food Lab</w:t>
            </w:r>
          </w:p>
        </w:tc>
        <w:tc>
          <w:tcPr>
            <w:tcW w:w="990" w:type="dxa"/>
            <w:tcBorders>
              <w:top w:val="nil"/>
              <w:bottom w:val="nil"/>
            </w:tcBorders>
            <w:shd w:val="clear" w:color="auto" w:fill="auto"/>
          </w:tcPr>
          <w:p w14:paraId="01C15CA1" w14:textId="77777777" w:rsidR="00BB09D8" w:rsidRPr="00ED454F" w:rsidRDefault="00BB09D8" w:rsidP="003C06EC">
            <w:pPr>
              <w:rPr>
                <w:color w:val="000000"/>
                <w:sz w:val="20"/>
                <w:szCs w:val="20"/>
                <w:lang w:eastAsia="en-AU"/>
              </w:rPr>
            </w:pPr>
            <w:r w:rsidRPr="00ED454F">
              <w:rPr>
                <w:sz w:val="20"/>
                <w:szCs w:val="20"/>
              </w:rPr>
              <w:t>Medical students, nutrition students, and medical residents; n=48; Attrition=27%.</w:t>
            </w:r>
          </w:p>
        </w:tc>
        <w:tc>
          <w:tcPr>
            <w:tcW w:w="2700" w:type="dxa"/>
            <w:tcBorders>
              <w:top w:val="nil"/>
              <w:bottom w:val="nil"/>
            </w:tcBorders>
            <w:shd w:val="clear" w:color="auto" w:fill="auto"/>
            <w:hideMark/>
          </w:tcPr>
          <w:p w14:paraId="720B4043" w14:textId="77777777" w:rsidR="00BB09D8" w:rsidRPr="00ED454F" w:rsidRDefault="00BB09D8" w:rsidP="003C06EC">
            <w:pPr>
              <w:rPr>
                <w:color w:val="000000"/>
                <w:sz w:val="20"/>
                <w:szCs w:val="20"/>
                <w:lang w:eastAsia="en-AU"/>
              </w:rPr>
            </w:pPr>
            <w:r w:rsidRPr="00ED454F">
              <w:rPr>
                <w:color w:val="000000" w:themeColor="text1"/>
                <w:sz w:val="20"/>
                <w:szCs w:val="20"/>
                <w:lang w:eastAsia="en-AU"/>
              </w:rPr>
              <w:t>To use a culinary medicine course to strengthen teamwork between nutrition and medical students using a collaborative environment to develop better understanding of their respective scopes of practice and establishing groundwork for effective interprofessional communication.</w:t>
            </w:r>
          </w:p>
        </w:tc>
        <w:tc>
          <w:tcPr>
            <w:tcW w:w="3127" w:type="dxa"/>
            <w:tcBorders>
              <w:top w:val="nil"/>
              <w:bottom w:val="nil"/>
              <w:right w:val="nil"/>
            </w:tcBorders>
            <w:shd w:val="clear" w:color="auto" w:fill="auto"/>
            <w:hideMark/>
          </w:tcPr>
          <w:p w14:paraId="34AD37E3" w14:textId="77777777" w:rsidR="00BB09D8" w:rsidRPr="00ED454F" w:rsidRDefault="00BB09D8" w:rsidP="003C06EC">
            <w:pPr>
              <w:rPr>
                <w:sz w:val="20"/>
                <w:szCs w:val="20"/>
                <w:lang w:eastAsia="en-AU"/>
              </w:rPr>
            </w:pPr>
            <w:proofErr w:type="gramStart"/>
            <w:r w:rsidRPr="00ED454F">
              <w:rPr>
                <w:sz w:val="20"/>
                <w:szCs w:val="20"/>
              </w:rPr>
              <w:t>25 hour</w:t>
            </w:r>
            <w:proofErr w:type="gramEnd"/>
            <w:r w:rsidRPr="00ED454F">
              <w:rPr>
                <w:sz w:val="20"/>
                <w:szCs w:val="20"/>
              </w:rPr>
              <w:t xml:space="preserve"> nutrition elective: consisting of 5 sessions per semester, using 5 modules from Goldring Center for Culinary Medicine at Tulane University: includes online didactic components, and 3 hour in person interactive team component; taught by interdisciplinary faculty members, chef/dietitian, clinical dietitian, and family medicine physician. </w:t>
            </w:r>
          </w:p>
        </w:tc>
      </w:tr>
      <w:tr w:rsidR="00BB09D8" w:rsidRPr="00ED454F" w14:paraId="056871CC" w14:textId="77777777" w:rsidTr="003C06EC">
        <w:trPr>
          <w:trHeight w:val="864"/>
        </w:trPr>
        <w:tc>
          <w:tcPr>
            <w:tcW w:w="852" w:type="dxa"/>
            <w:tcBorders>
              <w:top w:val="nil"/>
              <w:left w:val="nil"/>
              <w:bottom w:val="nil"/>
            </w:tcBorders>
            <w:shd w:val="clear" w:color="auto" w:fill="auto"/>
            <w:hideMark/>
          </w:tcPr>
          <w:p w14:paraId="379A0C67" w14:textId="77777777" w:rsidR="00BB09D8" w:rsidRPr="00ED454F" w:rsidRDefault="00BB09D8" w:rsidP="003C06EC">
            <w:pPr>
              <w:spacing w:line="259" w:lineRule="auto"/>
              <w:ind w:left="-110"/>
              <w:rPr>
                <w:color w:val="000000" w:themeColor="text1"/>
                <w:sz w:val="20"/>
                <w:szCs w:val="20"/>
                <w:lang w:eastAsia="en-AU"/>
              </w:rPr>
            </w:pPr>
            <w:r w:rsidRPr="00ED454F">
              <w:rPr>
                <w:color w:val="000000"/>
                <w:sz w:val="20"/>
                <w:szCs w:val="20"/>
                <w:lang w:eastAsia="en-AU"/>
              </w:rPr>
              <w:t>Pang et al (2019)</w:t>
            </w:r>
          </w:p>
        </w:tc>
        <w:tc>
          <w:tcPr>
            <w:tcW w:w="990" w:type="dxa"/>
            <w:tcBorders>
              <w:top w:val="nil"/>
              <w:bottom w:val="nil"/>
            </w:tcBorders>
            <w:shd w:val="clear" w:color="auto" w:fill="auto"/>
            <w:hideMark/>
          </w:tcPr>
          <w:p w14:paraId="2BDAAC27" w14:textId="77777777" w:rsidR="00BB09D8" w:rsidRPr="00ED454F" w:rsidRDefault="00BB09D8" w:rsidP="003C06EC">
            <w:pPr>
              <w:spacing w:line="259" w:lineRule="auto"/>
              <w:ind w:left="-110"/>
              <w:rPr>
                <w:color w:val="000000" w:themeColor="text1"/>
                <w:sz w:val="20"/>
                <w:szCs w:val="20"/>
                <w:lang w:eastAsia="en-AU"/>
              </w:rPr>
            </w:pPr>
            <w:r w:rsidRPr="00ED454F">
              <w:rPr>
                <w:color w:val="000000"/>
                <w:sz w:val="20"/>
                <w:szCs w:val="20"/>
                <w:lang w:eastAsia="en-AU"/>
              </w:rPr>
              <w:t xml:space="preserve">Qualitative </w:t>
            </w:r>
          </w:p>
        </w:tc>
        <w:tc>
          <w:tcPr>
            <w:tcW w:w="1170" w:type="dxa"/>
            <w:tcBorders>
              <w:top w:val="nil"/>
              <w:bottom w:val="nil"/>
            </w:tcBorders>
            <w:shd w:val="clear" w:color="auto" w:fill="auto"/>
            <w:hideMark/>
          </w:tcPr>
          <w:p w14:paraId="7F0B1ABF" w14:textId="77777777" w:rsidR="00BB09D8" w:rsidRPr="00ED454F" w:rsidRDefault="00BB09D8" w:rsidP="003C06EC">
            <w:pPr>
              <w:spacing w:line="259" w:lineRule="auto"/>
              <w:ind w:left="-110"/>
              <w:rPr>
                <w:color w:val="000000" w:themeColor="text1"/>
                <w:sz w:val="20"/>
                <w:szCs w:val="20"/>
                <w:lang w:eastAsia="en-AU"/>
              </w:rPr>
            </w:pPr>
            <w:r w:rsidRPr="00ED454F">
              <w:rPr>
                <w:color w:val="000000"/>
                <w:sz w:val="20"/>
                <w:szCs w:val="20"/>
                <w:lang w:eastAsia="en-AU"/>
              </w:rPr>
              <w:t>Non-Profit Teaching Kitchens</w:t>
            </w:r>
          </w:p>
        </w:tc>
        <w:tc>
          <w:tcPr>
            <w:tcW w:w="990" w:type="dxa"/>
            <w:tcBorders>
              <w:top w:val="nil"/>
              <w:bottom w:val="nil"/>
            </w:tcBorders>
            <w:shd w:val="clear" w:color="auto" w:fill="auto"/>
          </w:tcPr>
          <w:p w14:paraId="680E15A2" w14:textId="77777777" w:rsidR="00BB09D8" w:rsidRPr="00ED454F" w:rsidRDefault="00BB09D8" w:rsidP="003C06EC">
            <w:pPr>
              <w:rPr>
                <w:color w:val="000000"/>
                <w:sz w:val="20"/>
                <w:szCs w:val="20"/>
                <w:lang w:eastAsia="en-AU"/>
              </w:rPr>
            </w:pPr>
            <w:r w:rsidRPr="00ED454F">
              <w:rPr>
                <w:sz w:val="20"/>
                <w:szCs w:val="20"/>
              </w:rPr>
              <w:t xml:space="preserve">Medical students; n=15 (2016), n=16 (2017), n=16 (2018); Attrition for all years = 0%; 2nd year; </w:t>
            </w:r>
          </w:p>
        </w:tc>
        <w:tc>
          <w:tcPr>
            <w:tcW w:w="2700" w:type="dxa"/>
            <w:tcBorders>
              <w:top w:val="nil"/>
              <w:bottom w:val="nil"/>
            </w:tcBorders>
            <w:shd w:val="clear" w:color="auto" w:fill="auto"/>
            <w:hideMark/>
          </w:tcPr>
          <w:p w14:paraId="7F60D89D" w14:textId="77777777" w:rsidR="00BB09D8" w:rsidRPr="00ED454F" w:rsidRDefault="00BB09D8" w:rsidP="003C06EC">
            <w:pPr>
              <w:rPr>
                <w:color w:val="000000"/>
                <w:sz w:val="20"/>
                <w:szCs w:val="20"/>
                <w:lang w:eastAsia="en-AU"/>
              </w:rPr>
            </w:pPr>
            <w:r w:rsidRPr="00ED454F">
              <w:rPr>
                <w:color w:val="000000" w:themeColor="text1"/>
                <w:sz w:val="20"/>
                <w:szCs w:val="20"/>
                <w:lang w:eastAsia="en-AU"/>
              </w:rPr>
              <w:t xml:space="preserve">1) To develop </w:t>
            </w:r>
            <w:r w:rsidRPr="00ED454F" w:rsidDel="005B0D09">
              <w:rPr>
                <w:color w:val="000000" w:themeColor="text1"/>
                <w:sz w:val="20"/>
                <w:szCs w:val="20"/>
                <w:lang w:eastAsia="en-AU"/>
              </w:rPr>
              <w:t xml:space="preserve">a </w:t>
            </w:r>
            <w:r w:rsidRPr="00ED454F">
              <w:rPr>
                <w:color w:val="000000" w:themeColor="text1"/>
                <w:sz w:val="20"/>
                <w:szCs w:val="20"/>
                <w:lang w:eastAsia="en-AU"/>
              </w:rPr>
              <w:t xml:space="preserve">hands-on approach to medical nutrition education centred around </w:t>
            </w:r>
            <w:proofErr w:type="gramStart"/>
            <w:r w:rsidRPr="00ED454F">
              <w:rPr>
                <w:color w:val="000000" w:themeColor="text1"/>
                <w:sz w:val="20"/>
                <w:szCs w:val="20"/>
                <w:lang w:eastAsia="en-AU"/>
              </w:rPr>
              <w:t>teamwork;</w:t>
            </w:r>
            <w:proofErr w:type="gramEnd"/>
          </w:p>
          <w:p w14:paraId="41630D66" w14:textId="77777777" w:rsidR="00BB09D8" w:rsidRPr="00ED454F" w:rsidRDefault="00BB09D8" w:rsidP="003C06EC">
            <w:pPr>
              <w:rPr>
                <w:color w:val="000000"/>
                <w:sz w:val="20"/>
                <w:szCs w:val="20"/>
                <w:lang w:eastAsia="en-AU"/>
              </w:rPr>
            </w:pPr>
            <w:r w:rsidRPr="00ED454F">
              <w:rPr>
                <w:color w:val="000000" w:themeColor="text1"/>
                <w:sz w:val="20"/>
                <w:szCs w:val="20"/>
                <w:lang w:eastAsia="en-AU"/>
              </w:rPr>
              <w:t xml:space="preserve">2) To create innovative ways with food and cooking for students to connect with and understand health disparities faced in a county community population </w:t>
            </w:r>
          </w:p>
          <w:p w14:paraId="1005E065" w14:textId="77777777" w:rsidR="00BB09D8" w:rsidRPr="00ED454F" w:rsidRDefault="00BB09D8" w:rsidP="003C06EC">
            <w:pPr>
              <w:rPr>
                <w:color w:val="000000"/>
                <w:sz w:val="20"/>
                <w:szCs w:val="20"/>
                <w:lang w:eastAsia="en-AU"/>
              </w:rPr>
            </w:pPr>
            <w:r w:rsidRPr="00ED454F">
              <w:rPr>
                <w:color w:val="000000" w:themeColor="text1"/>
                <w:sz w:val="20"/>
                <w:szCs w:val="20"/>
                <w:lang w:eastAsia="en-AU"/>
              </w:rPr>
              <w:t xml:space="preserve">3) To increase medical </w:t>
            </w:r>
            <w:proofErr w:type="gramStart"/>
            <w:r w:rsidRPr="00ED454F">
              <w:rPr>
                <w:color w:val="000000" w:themeColor="text1"/>
                <w:sz w:val="20"/>
                <w:szCs w:val="20"/>
                <w:lang w:eastAsia="en-AU"/>
              </w:rPr>
              <w:t>students</w:t>
            </w:r>
            <w:proofErr w:type="gramEnd"/>
            <w:r w:rsidRPr="00ED454F">
              <w:rPr>
                <w:color w:val="000000" w:themeColor="text1"/>
                <w:sz w:val="20"/>
                <w:szCs w:val="20"/>
                <w:lang w:eastAsia="en-AU"/>
              </w:rPr>
              <w:t xml:space="preserve"> confidence counseling patients with chronic disease to make dietary change.</w:t>
            </w:r>
          </w:p>
        </w:tc>
        <w:tc>
          <w:tcPr>
            <w:tcW w:w="3127" w:type="dxa"/>
            <w:tcBorders>
              <w:top w:val="nil"/>
              <w:bottom w:val="nil"/>
              <w:right w:val="nil"/>
            </w:tcBorders>
            <w:shd w:val="clear" w:color="auto" w:fill="auto"/>
            <w:hideMark/>
          </w:tcPr>
          <w:p w14:paraId="4C7E2A1A" w14:textId="77777777" w:rsidR="00BB09D8" w:rsidRPr="00ED454F" w:rsidRDefault="00BB09D8" w:rsidP="003C06EC">
            <w:pPr>
              <w:rPr>
                <w:sz w:val="20"/>
                <w:szCs w:val="20"/>
              </w:rPr>
            </w:pPr>
            <w:r w:rsidRPr="00ED454F">
              <w:rPr>
                <w:sz w:val="20"/>
                <w:szCs w:val="20"/>
              </w:rPr>
              <w:t>6</w:t>
            </w:r>
            <w:r w:rsidRPr="00ED454F" w:rsidDel="00783DFF">
              <w:rPr>
                <w:sz w:val="20"/>
                <w:szCs w:val="20"/>
              </w:rPr>
              <w:t xml:space="preserve"> </w:t>
            </w:r>
            <w:r w:rsidRPr="00ED454F">
              <w:rPr>
                <w:sz w:val="20"/>
                <w:szCs w:val="20"/>
              </w:rPr>
              <w:t>session elective (15 hours total): consisting of 0·5 hours of physiology and nutrition lessons, 1·5 hours of hands-on cooking class, and 0·5 hours of communal eating and session debrief;</w:t>
            </w:r>
            <w:r w:rsidRPr="00ED454F" w:rsidDel="00783DFF">
              <w:rPr>
                <w:sz w:val="20"/>
                <w:szCs w:val="20"/>
              </w:rPr>
              <w:t xml:space="preserve"> </w:t>
            </w:r>
            <w:r w:rsidRPr="00ED454F">
              <w:rPr>
                <w:sz w:val="20"/>
                <w:szCs w:val="20"/>
              </w:rPr>
              <w:t>delivered by collaboration between a physician, a registered dietitian, and a chef.</w:t>
            </w:r>
          </w:p>
          <w:p w14:paraId="1F22161E" w14:textId="77777777" w:rsidR="00BB09D8" w:rsidRPr="00ED454F" w:rsidRDefault="00BB09D8" w:rsidP="003C06EC">
            <w:pPr>
              <w:rPr>
                <w:sz w:val="20"/>
                <w:szCs w:val="20"/>
              </w:rPr>
            </w:pPr>
          </w:p>
          <w:p w14:paraId="79B73B3C" w14:textId="77777777" w:rsidR="00BB09D8" w:rsidRPr="00ED454F" w:rsidRDefault="00BB09D8" w:rsidP="003C06EC">
            <w:pPr>
              <w:rPr>
                <w:sz w:val="20"/>
                <w:szCs w:val="20"/>
                <w:lang w:eastAsia="en-AU"/>
              </w:rPr>
            </w:pPr>
          </w:p>
        </w:tc>
      </w:tr>
      <w:tr w:rsidR="00BB09D8" w:rsidRPr="00ED454F" w14:paraId="37F87169" w14:textId="77777777" w:rsidTr="003C06EC">
        <w:trPr>
          <w:trHeight w:val="864"/>
        </w:trPr>
        <w:tc>
          <w:tcPr>
            <w:tcW w:w="852" w:type="dxa"/>
            <w:tcBorders>
              <w:top w:val="nil"/>
              <w:left w:val="nil"/>
              <w:bottom w:val="nil"/>
            </w:tcBorders>
            <w:shd w:val="clear" w:color="auto" w:fill="auto"/>
            <w:hideMark/>
          </w:tcPr>
          <w:p w14:paraId="12E26279" w14:textId="77777777" w:rsidR="00BB09D8" w:rsidRPr="00ED454F" w:rsidRDefault="00BB09D8" w:rsidP="003C06EC">
            <w:pPr>
              <w:rPr>
                <w:color w:val="000000"/>
                <w:sz w:val="20"/>
                <w:szCs w:val="20"/>
                <w:lang w:eastAsia="en-AU"/>
              </w:rPr>
            </w:pPr>
            <w:r w:rsidRPr="00ED454F">
              <w:rPr>
                <w:color w:val="000000"/>
                <w:sz w:val="20"/>
                <w:szCs w:val="20"/>
                <w:lang w:eastAsia="en-AU"/>
              </w:rPr>
              <w:t>Ring et al (2019)</w:t>
            </w:r>
          </w:p>
        </w:tc>
        <w:tc>
          <w:tcPr>
            <w:tcW w:w="990" w:type="dxa"/>
            <w:tcBorders>
              <w:top w:val="nil"/>
              <w:bottom w:val="nil"/>
            </w:tcBorders>
            <w:shd w:val="clear" w:color="auto" w:fill="auto"/>
            <w:hideMark/>
          </w:tcPr>
          <w:p w14:paraId="11E87AC0" w14:textId="77777777" w:rsidR="00BB09D8" w:rsidRPr="00ED454F" w:rsidRDefault="00BB09D8" w:rsidP="003C06EC">
            <w:pPr>
              <w:ind w:left="-110"/>
              <w:rPr>
                <w:color w:val="000000"/>
                <w:sz w:val="20"/>
                <w:szCs w:val="20"/>
                <w:lang w:eastAsia="en-AU"/>
              </w:rPr>
            </w:pPr>
            <w:r w:rsidRPr="00ED454F">
              <w:rPr>
                <w:color w:val="000000"/>
                <w:sz w:val="20"/>
                <w:szCs w:val="20"/>
                <w:lang w:eastAsia="en-AU"/>
              </w:rPr>
              <w:t>Case Study</w:t>
            </w:r>
          </w:p>
        </w:tc>
        <w:tc>
          <w:tcPr>
            <w:tcW w:w="1170" w:type="dxa"/>
            <w:tcBorders>
              <w:top w:val="nil"/>
              <w:bottom w:val="nil"/>
            </w:tcBorders>
            <w:shd w:val="clear" w:color="auto" w:fill="auto"/>
            <w:hideMark/>
          </w:tcPr>
          <w:p w14:paraId="1EB9D378" w14:textId="77777777" w:rsidR="00BB09D8" w:rsidRPr="00ED454F" w:rsidRDefault="00BB09D8" w:rsidP="003C06EC">
            <w:pPr>
              <w:rPr>
                <w:color w:val="000000"/>
                <w:sz w:val="20"/>
                <w:szCs w:val="20"/>
                <w:lang w:eastAsia="en-AU"/>
              </w:rPr>
            </w:pPr>
            <w:r w:rsidRPr="00ED454F">
              <w:rPr>
                <w:color w:val="000000"/>
                <w:sz w:val="20"/>
                <w:szCs w:val="20"/>
                <w:lang w:eastAsia="en-AU"/>
              </w:rPr>
              <w:t>Non-Profit Teaching Kitchen and Chicago Public Schools</w:t>
            </w:r>
          </w:p>
        </w:tc>
        <w:tc>
          <w:tcPr>
            <w:tcW w:w="990" w:type="dxa"/>
            <w:tcBorders>
              <w:top w:val="nil"/>
              <w:bottom w:val="nil"/>
            </w:tcBorders>
            <w:shd w:val="clear" w:color="auto" w:fill="auto"/>
          </w:tcPr>
          <w:p w14:paraId="59F27384" w14:textId="77777777" w:rsidR="00BB09D8" w:rsidRPr="00ED454F" w:rsidRDefault="00BB09D8" w:rsidP="003C06EC">
            <w:pPr>
              <w:rPr>
                <w:sz w:val="20"/>
                <w:szCs w:val="20"/>
                <w:lang w:eastAsia="en-AU"/>
              </w:rPr>
            </w:pPr>
            <w:r w:rsidRPr="00ED454F">
              <w:rPr>
                <w:sz w:val="20"/>
                <w:szCs w:val="20"/>
              </w:rPr>
              <w:t>Medical students; n=9 (cohort 1), n=12 (cohort 2); Attrition = 11% (cohort 1), Attrition = 0% (cohort 2); 1st and 2nd year.</w:t>
            </w:r>
          </w:p>
        </w:tc>
        <w:tc>
          <w:tcPr>
            <w:tcW w:w="2700" w:type="dxa"/>
            <w:tcBorders>
              <w:top w:val="nil"/>
              <w:bottom w:val="nil"/>
            </w:tcBorders>
            <w:shd w:val="clear" w:color="auto" w:fill="auto"/>
            <w:hideMark/>
          </w:tcPr>
          <w:p w14:paraId="45466F63" w14:textId="77777777" w:rsidR="00BB09D8" w:rsidRPr="00ED454F" w:rsidRDefault="00BB09D8" w:rsidP="003C06EC">
            <w:pPr>
              <w:rPr>
                <w:color w:val="000000"/>
                <w:sz w:val="20"/>
                <w:szCs w:val="20"/>
                <w:lang w:eastAsia="en-AU"/>
              </w:rPr>
            </w:pPr>
            <w:r w:rsidRPr="00ED454F">
              <w:rPr>
                <w:color w:val="000000" w:themeColor="text1"/>
                <w:sz w:val="20"/>
                <w:szCs w:val="20"/>
                <w:lang w:eastAsia="en-AU"/>
              </w:rPr>
              <w:t>1) To evaluate the feasibility and acceptability of the culinary medicine elective by examining class attendance rates, retention, and qualitative and quantitative feedback about the course. 2) To examine</w:t>
            </w:r>
            <w:r w:rsidRPr="00ED454F" w:rsidDel="001B2EE1">
              <w:rPr>
                <w:color w:val="000000" w:themeColor="text1"/>
                <w:sz w:val="20"/>
                <w:szCs w:val="20"/>
                <w:lang w:eastAsia="en-AU"/>
              </w:rPr>
              <w:t xml:space="preserve"> </w:t>
            </w:r>
            <w:r w:rsidRPr="00ED454F">
              <w:rPr>
                <w:color w:val="000000" w:themeColor="text1"/>
                <w:sz w:val="20"/>
                <w:szCs w:val="20"/>
                <w:lang w:eastAsia="en-AU"/>
              </w:rPr>
              <w:t>preliminary efﬁcacy of the elective in preparing medical students to counsel patients in successful behaviour change in nutrition and cooking,</w:t>
            </w:r>
          </w:p>
          <w:p w14:paraId="3A2BFA0A" w14:textId="77777777" w:rsidR="00BB09D8" w:rsidRPr="00ED454F" w:rsidRDefault="00BB09D8" w:rsidP="003C06EC">
            <w:pPr>
              <w:rPr>
                <w:color w:val="000000"/>
                <w:sz w:val="20"/>
                <w:szCs w:val="20"/>
                <w:lang w:eastAsia="en-AU"/>
              </w:rPr>
            </w:pPr>
            <w:r w:rsidRPr="00ED454F">
              <w:rPr>
                <w:color w:val="000000" w:themeColor="text1"/>
                <w:sz w:val="20"/>
                <w:szCs w:val="20"/>
                <w:lang w:eastAsia="en-AU"/>
              </w:rPr>
              <w:t>3) To improve medical students’ own cooking and nutrition conﬁdence, attitudes, and behaviours.</w:t>
            </w:r>
          </w:p>
        </w:tc>
        <w:tc>
          <w:tcPr>
            <w:tcW w:w="3127" w:type="dxa"/>
            <w:tcBorders>
              <w:top w:val="nil"/>
              <w:bottom w:val="nil"/>
              <w:right w:val="nil"/>
            </w:tcBorders>
            <w:shd w:val="clear" w:color="auto" w:fill="auto"/>
            <w:hideMark/>
          </w:tcPr>
          <w:p w14:paraId="442419A4" w14:textId="77777777" w:rsidR="00BB09D8" w:rsidRPr="00ED454F" w:rsidRDefault="00BB09D8" w:rsidP="003C06EC">
            <w:pPr>
              <w:rPr>
                <w:color w:val="000000"/>
                <w:sz w:val="20"/>
                <w:szCs w:val="20"/>
                <w:lang w:eastAsia="en-AU"/>
              </w:rPr>
            </w:pPr>
            <w:r w:rsidRPr="00ED454F">
              <w:rPr>
                <w:sz w:val="20"/>
                <w:szCs w:val="20"/>
              </w:rPr>
              <w:t>Cohort 1: 6 elective in-class sessions facilitated by faculty and chef (~2·5 hours each): consisting of didactic teaching,</w:t>
            </w:r>
            <w:r w:rsidRPr="00ED454F" w:rsidDel="00C1474A">
              <w:rPr>
                <w:sz w:val="20"/>
                <w:szCs w:val="20"/>
              </w:rPr>
              <w:t xml:space="preserve"> </w:t>
            </w:r>
            <w:r w:rsidRPr="00ED454F">
              <w:rPr>
                <w:sz w:val="20"/>
                <w:szCs w:val="20"/>
              </w:rPr>
              <w:t>counselling and motivational interviewing practice, culinary instruction and group dinner (hours NR); PLUS post-hoc 4 session service component (duration NR) teaching elementary public-school children.;</w:t>
            </w:r>
            <w:r w:rsidRPr="00ED454F" w:rsidDel="00783DFF">
              <w:rPr>
                <w:sz w:val="20"/>
                <w:szCs w:val="20"/>
              </w:rPr>
              <w:t xml:space="preserve"> </w:t>
            </w:r>
            <w:r w:rsidRPr="00ED454F">
              <w:rPr>
                <w:sz w:val="20"/>
                <w:szCs w:val="20"/>
              </w:rPr>
              <w:t>Cohort 2: 6 session elective facilitated by faculty and chef:</w:t>
            </w:r>
            <w:r w:rsidRPr="00ED454F" w:rsidDel="00C1474A">
              <w:rPr>
                <w:sz w:val="20"/>
                <w:szCs w:val="20"/>
              </w:rPr>
              <w:t xml:space="preserve"> consisting </w:t>
            </w:r>
            <w:r w:rsidRPr="00ED454F" w:rsidDel="009A47F2">
              <w:rPr>
                <w:sz w:val="20"/>
                <w:szCs w:val="20"/>
              </w:rPr>
              <w:t xml:space="preserve">of </w:t>
            </w:r>
            <w:r w:rsidRPr="00ED454F">
              <w:rPr>
                <w:sz w:val="20"/>
                <w:szCs w:val="20"/>
              </w:rPr>
              <w:t>pre-class videos (3-8 minutes), lecture and assignment (totalling 1-1·5 hours)</w:t>
            </w:r>
            <w:r w:rsidRPr="00ED454F" w:rsidDel="00A742F1">
              <w:rPr>
                <w:sz w:val="20"/>
                <w:szCs w:val="20"/>
              </w:rPr>
              <w:t xml:space="preserve"> </w:t>
            </w:r>
            <w:r w:rsidRPr="00ED454F">
              <w:rPr>
                <w:sz w:val="20"/>
                <w:szCs w:val="20"/>
              </w:rPr>
              <w:t xml:space="preserve">in-class simulated patient coaching, student-led research discussions, culinary sessions (hours NR); PLUS concurrent service component 4 sessions (duration NR) teaching elementary public-school children. </w:t>
            </w:r>
          </w:p>
        </w:tc>
      </w:tr>
      <w:tr w:rsidR="00BB09D8" w:rsidRPr="00ED454F" w14:paraId="6B2E6F82" w14:textId="77777777" w:rsidTr="003C06EC">
        <w:trPr>
          <w:trHeight w:val="864"/>
        </w:trPr>
        <w:tc>
          <w:tcPr>
            <w:tcW w:w="852" w:type="dxa"/>
            <w:tcBorders>
              <w:top w:val="nil"/>
              <w:left w:val="nil"/>
              <w:bottom w:val="nil"/>
            </w:tcBorders>
            <w:shd w:val="clear" w:color="auto" w:fill="auto"/>
            <w:hideMark/>
          </w:tcPr>
          <w:p w14:paraId="512391E6" w14:textId="77777777" w:rsidR="00BB09D8" w:rsidRPr="00ED454F" w:rsidRDefault="00BB09D8" w:rsidP="003C06EC">
            <w:pPr>
              <w:rPr>
                <w:color w:val="000000"/>
                <w:sz w:val="20"/>
                <w:szCs w:val="20"/>
                <w:lang w:eastAsia="en-AU"/>
              </w:rPr>
            </w:pPr>
            <w:proofErr w:type="spellStart"/>
            <w:r w:rsidRPr="00ED454F">
              <w:rPr>
                <w:color w:val="000000"/>
                <w:sz w:val="20"/>
                <w:szCs w:val="20"/>
                <w:lang w:eastAsia="en-AU"/>
              </w:rPr>
              <w:t>Hennrikus</w:t>
            </w:r>
            <w:proofErr w:type="spellEnd"/>
            <w:r w:rsidRPr="00ED454F">
              <w:rPr>
                <w:color w:val="000000"/>
                <w:sz w:val="20"/>
                <w:szCs w:val="20"/>
                <w:lang w:eastAsia="en-AU"/>
              </w:rPr>
              <w:t xml:space="preserve"> et al (2020)</w:t>
            </w:r>
          </w:p>
        </w:tc>
        <w:tc>
          <w:tcPr>
            <w:tcW w:w="990" w:type="dxa"/>
            <w:tcBorders>
              <w:top w:val="nil"/>
              <w:bottom w:val="nil"/>
            </w:tcBorders>
            <w:shd w:val="clear" w:color="auto" w:fill="auto"/>
            <w:hideMark/>
          </w:tcPr>
          <w:p w14:paraId="5CA10CB4" w14:textId="77777777" w:rsidR="00BB09D8" w:rsidRPr="00ED454F" w:rsidRDefault="00BB09D8" w:rsidP="003C06EC">
            <w:pPr>
              <w:ind w:left="-110"/>
              <w:rPr>
                <w:color w:val="444444"/>
                <w:sz w:val="20"/>
                <w:szCs w:val="20"/>
                <w:lang w:eastAsia="en-AU"/>
              </w:rPr>
            </w:pPr>
            <w:r w:rsidRPr="00ED454F">
              <w:rPr>
                <w:color w:val="000000"/>
                <w:sz w:val="20"/>
                <w:szCs w:val="20"/>
                <w:lang w:eastAsia="en-AU"/>
              </w:rPr>
              <w:t>Qualitative</w:t>
            </w:r>
          </w:p>
        </w:tc>
        <w:tc>
          <w:tcPr>
            <w:tcW w:w="1170" w:type="dxa"/>
            <w:tcBorders>
              <w:top w:val="nil"/>
              <w:bottom w:val="nil"/>
            </w:tcBorders>
            <w:shd w:val="clear" w:color="auto" w:fill="auto"/>
            <w:hideMark/>
          </w:tcPr>
          <w:p w14:paraId="297141AA" w14:textId="77777777" w:rsidR="00BB09D8" w:rsidRPr="00ED454F" w:rsidRDefault="00BB09D8" w:rsidP="003C06EC">
            <w:pPr>
              <w:rPr>
                <w:color w:val="000000"/>
                <w:sz w:val="20"/>
                <w:szCs w:val="20"/>
                <w:lang w:eastAsia="en-AU"/>
              </w:rPr>
            </w:pPr>
            <w:r w:rsidRPr="00ED454F">
              <w:rPr>
                <w:color w:val="000000"/>
                <w:sz w:val="20"/>
                <w:szCs w:val="20"/>
                <w:lang w:eastAsia="en-AU"/>
              </w:rPr>
              <w:t>University Lecture Hall</w:t>
            </w:r>
          </w:p>
        </w:tc>
        <w:tc>
          <w:tcPr>
            <w:tcW w:w="990" w:type="dxa"/>
            <w:tcBorders>
              <w:top w:val="nil"/>
              <w:bottom w:val="nil"/>
            </w:tcBorders>
            <w:shd w:val="clear" w:color="auto" w:fill="auto"/>
          </w:tcPr>
          <w:p w14:paraId="78F0DC4A" w14:textId="77777777" w:rsidR="00BB09D8" w:rsidRPr="00ED454F" w:rsidRDefault="00BB09D8" w:rsidP="003C06EC">
            <w:pPr>
              <w:rPr>
                <w:color w:val="000000"/>
                <w:sz w:val="20"/>
                <w:szCs w:val="20"/>
                <w:lang w:eastAsia="en-AU"/>
              </w:rPr>
            </w:pPr>
            <w:r w:rsidRPr="00ED454F">
              <w:rPr>
                <w:sz w:val="20"/>
                <w:szCs w:val="20"/>
              </w:rPr>
              <w:t xml:space="preserve">Medical students; n=380; Attrition </w:t>
            </w:r>
            <w:r w:rsidRPr="00ED454F">
              <w:rPr>
                <w:sz w:val="20"/>
                <w:szCs w:val="20"/>
              </w:rPr>
              <w:lastRenderedPageBreak/>
              <w:t>NR; 1st year.</w:t>
            </w:r>
          </w:p>
        </w:tc>
        <w:tc>
          <w:tcPr>
            <w:tcW w:w="2700" w:type="dxa"/>
            <w:tcBorders>
              <w:top w:val="nil"/>
              <w:bottom w:val="nil"/>
            </w:tcBorders>
            <w:shd w:val="clear" w:color="auto" w:fill="auto"/>
            <w:hideMark/>
          </w:tcPr>
          <w:p w14:paraId="4B3FF24D" w14:textId="77777777" w:rsidR="00BB09D8" w:rsidRPr="00ED454F" w:rsidRDefault="00BB09D8" w:rsidP="003C06EC">
            <w:pPr>
              <w:rPr>
                <w:color w:val="000000"/>
                <w:sz w:val="20"/>
                <w:szCs w:val="20"/>
                <w:lang w:eastAsia="en-AU"/>
              </w:rPr>
            </w:pPr>
            <w:r w:rsidRPr="00ED454F">
              <w:rPr>
                <w:color w:val="000000"/>
                <w:sz w:val="20"/>
                <w:szCs w:val="20"/>
                <w:lang w:eastAsia="en-AU"/>
              </w:rPr>
              <w:lastRenderedPageBreak/>
              <w:t xml:space="preserve">To vertically integrate basic science metabolic and immunologic pathways with clinical disease using nutrition </w:t>
            </w:r>
            <w:r w:rsidRPr="00ED454F">
              <w:rPr>
                <w:color w:val="000000"/>
                <w:sz w:val="20"/>
                <w:szCs w:val="20"/>
                <w:lang w:eastAsia="en-AU"/>
              </w:rPr>
              <w:lastRenderedPageBreak/>
              <w:t>in a constructivist educational model.</w:t>
            </w:r>
          </w:p>
        </w:tc>
        <w:tc>
          <w:tcPr>
            <w:tcW w:w="3127" w:type="dxa"/>
            <w:tcBorders>
              <w:top w:val="nil"/>
              <w:bottom w:val="nil"/>
              <w:right w:val="nil"/>
            </w:tcBorders>
            <w:shd w:val="clear" w:color="auto" w:fill="auto"/>
            <w:hideMark/>
          </w:tcPr>
          <w:p w14:paraId="6F3F51B5" w14:textId="77777777" w:rsidR="00BB09D8" w:rsidRPr="00ED454F" w:rsidRDefault="00BB09D8" w:rsidP="003C06EC">
            <w:pPr>
              <w:rPr>
                <w:sz w:val="20"/>
                <w:szCs w:val="20"/>
                <w:lang w:eastAsia="en-AU"/>
              </w:rPr>
            </w:pPr>
            <w:r w:rsidRPr="00ED454F">
              <w:rPr>
                <w:sz w:val="20"/>
                <w:szCs w:val="20"/>
              </w:rPr>
              <w:lastRenderedPageBreak/>
              <w:t xml:space="preserve">13-week non-elective basic science course consisting of lectures, PBL, simulation sessions, review sessions and patient encounters culminating </w:t>
            </w:r>
            <w:r w:rsidRPr="00ED454F">
              <w:rPr>
                <w:sz w:val="20"/>
                <w:szCs w:val="20"/>
              </w:rPr>
              <w:lastRenderedPageBreak/>
              <w:t>in competitive "cook off" where PBL groups prepared dishes for 1 of 5 specific disorders based on previous PBL cases.</w:t>
            </w:r>
          </w:p>
        </w:tc>
      </w:tr>
      <w:tr w:rsidR="00BB09D8" w:rsidRPr="00ED454F" w14:paraId="43E17C4F" w14:textId="77777777" w:rsidTr="003C06EC">
        <w:trPr>
          <w:trHeight w:val="864"/>
        </w:trPr>
        <w:tc>
          <w:tcPr>
            <w:tcW w:w="852" w:type="dxa"/>
            <w:tcBorders>
              <w:top w:val="nil"/>
              <w:left w:val="nil"/>
              <w:bottom w:val="nil"/>
            </w:tcBorders>
            <w:shd w:val="clear" w:color="auto" w:fill="auto"/>
            <w:hideMark/>
          </w:tcPr>
          <w:p w14:paraId="6F78B7A6" w14:textId="77777777" w:rsidR="00BB09D8" w:rsidRPr="00ED454F" w:rsidRDefault="00BB09D8" w:rsidP="003C06EC">
            <w:pPr>
              <w:rPr>
                <w:color w:val="000000"/>
                <w:sz w:val="20"/>
                <w:szCs w:val="20"/>
                <w:lang w:eastAsia="en-AU"/>
              </w:rPr>
            </w:pPr>
            <w:r w:rsidRPr="00ED454F">
              <w:rPr>
                <w:color w:val="000000"/>
                <w:sz w:val="20"/>
                <w:szCs w:val="20"/>
                <w:lang w:eastAsia="en-AU"/>
              </w:rPr>
              <w:lastRenderedPageBreak/>
              <w:t>Patnaik et al (2020)</w:t>
            </w:r>
          </w:p>
        </w:tc>
        <w:tc>
          <w:tcPr>
            <w:tcW w:w="990" w:type="dxa"/>
            <w:tcBorders>
              <w:top w:val="nil"/>
              <w:bottom w:val="nil"/>
            </w:tcBorders>
            <w:shd w:val="clear" w:color="auto" w:fill="auto"/>
            <w:hideMark/>
          </w:tcPr>
          <w:p w14:paraId="052A4B07" w14:textId="77777777" w:rsidR="00BB09D8" w:rsidRPr="00ED454F" w:rsidRDefault="00BB09D8" w:rsidP="003C06EC">
            <w:pPr>
              <w:ind w:left="-110"/>
              <w:rPr>
                <w:color w:val="444444"/>
                <w:sz w:val="20"/>
                <w:szCs w:val="20"/>
                <w:lang w:eastAsia="en-AU"/>
              </w:rPr>
            </w:pPr>
            <w:r w:rsidRPr="00ED454F">
              <w:rPr>
                <w:color w:val="444444"/>
                <w:sz w:val="20"/>
                <w:szCs w:val="20"/>
                <w:lang w:eastAsia="en-AU"/>
              </w:rPr>
              <w:t>Cross-Sectional</w:t>
            </w:r>
          </w:p>
        </w:tc>
        <w:tc>
          <w:tcPr>
            <w:tcW w:w="1170" w:type="dxa"/>
            <w:tcBorders>
              <w:top w:val="nil"/>
              <w:bottom w:val="nil"/>
            </w:tcBorders>
            <w:shd w:val="clear" w:color="auto" w:fill="auto"/>
            <w:hideMark/>
          </w:tcPr>
          <w:p w14:paraId="428CF86D" w14:textId="77777777" w:rsidR="00BB09D8" w:rsidRPr="00ED454F" w:rsidRDefault="00BB09D8" w:rsidP="003C06EC">
            <w:pPr>
              <w:rPr>
                <w:color w:val="444444"/>
                <w:sz w:val="20"/>
                <w:szCs w:val="20"/>
                <w:lang w:eastAsia="en-AU"/>
              </w:rPr>
            </w:pPr>
            <w:r w:rsidRPr="00ED454F">
              <w:rPr>
                <w:color w:val="000000"/>
                <w:sz w:val="20"/>
                <w:szCs w:val="20"/>
                <w:lang w:eastAsia="en-AU"/>
              </w:rPr>
              <w:t>University Teaching Kitchen</w:t>
            </w:r>
          </w:p>
        </w:tc>
        <w:tc>
          <w:tcPr>
            <w:tcW w:w="990" w:type="dxa"/>
            <w:tcBorders>
              <w:top w:val="nil"/>
              <w:bottom w:val="nil"/>
            </w:tcBorders>
            <w:shd w:val="clear" w:color="auto" w:fill="auto"/>
          </w:tcPr>
          <w:p w14:paraId="35233FDF" w14:textId="77777777" w:rsidR="00BB09D8" w:rsidRPr="00ED454F" w:rsidRDefault="00BB09D8" w:rsidP="003C06EC">
            <w:pPr>
              <w:rPr>
                <w:color w:val="000000"/>
                <w:sz w:val="20"/>
                <w:szCs w:val="20"/>
                <w:lang w:eastAsia="en-AU"/>
              </w:rPr>
            </w:pPr>
            <w:r w:rsidRPr="00ED454F">
              <w:rPr>
                <w:sz w:val="20"/>
                <w:szCs w:val="20"/>
              </w:rPr>
              <w:t>Medical students; n=4125; Attrition NR.</w:t>
            </w:r>
          </w:p>
        </w:tc>
        <w:tc>
          <w:tcPr>
            <w:tcW w:w="2700" w:type="dxa"/>
            <w:tcBorders>
              <w:top w:val="nil"/>
              <w:bottom w:val="nil"/>
            </w:tcBorders>
            <w:shd w:val="clear" w:color="auto" w:fill="auto"/>
            <w:hideMark/>
          </w:tcPr>
          <w:p w14:paraId="2456126C" w14:textId="77777777" w:rsidR="00BB09D8" w:rsidRPr="00ED454F" w:rsidRDefault="00BB09D8" w:rsidP="003C06EC">
            <w:pPr>
              <w:rPr>
                <w:color w:val="000000"/>
                <w:sz w:val="20"/>
                <w:szCs w:val="20"/>
                <w:lang w:eastAsia="en-AU"/>
              </w:rPr>
            </w:pPr>
            <w:r w:rsidRPr="00ED454F">
              <w:rPr>
                <w:color w:val="000000" w:themeColor="text1"/>
                <w:sz w:val="20"/>
                <w:szCs w:val="20"/>
                <w:lang w:eastAsia="en-AU"/>
              </w:rPr>
              <w:t>To determine differences in</w:t>
            </w:r>
            <w:r w:rsidRPr="00ED454F" w:rsidDel="00FE7F1C">
              <w:rPr>
                <w:color w:val="000000" w:themeColor="text1"/>
                <w:sz w:val="20"/>
                <w:szCs w:val="20"/>
                <w:lang w:eastAsia="en-AU"/>
              </w:rPr>
              <w:t xml:space="preserve"> </w:t>
            </w:r>
            <w:r w:rsidRPr="00ED454F">
              <w:rPr>
                <w:color w:val="000000" w:themeColor="text1"/>
                <w:sz w:val="20"/>
                <w:szCs w:val="20"/>
                <w:lang w:eastAsia="en-AU"/>
              </w:rPr>
              <w:t>efficacy between University of Texas Health Sciences Center</w:t>
            </w:r>
            <w:r w:rsidRPr="00ED454F" w:rsidDel="00FE7F1C">
              <w:rPr>
                <w:color w:val="000000" w:themeColor="text1"/>
                <w:sz w:val="20"/>
                <w:szCs w:val="20"/>
                <w:lang w:eastAsia="en-AU"/>
              </w:rPr>
              <w:t xml:space="preserve"> </w:t>
            </w:r>
            <w:r w:rsidRPr="00ED454F">
              <w:rPr>
                <w:color w:val="000000" w:themeColor="text1"/>
                <w:sz w:val="20"/>
                <w:szCs w:val="20"/>
                <w:lang w:eastAsia="en-AU"/>
              </w:rPr>
              <w:t>implementation of practical culinary and nutrition curriculum compared to other participating CHOP schools.</w:t>
            </w:r>
          </w:p>
        </w:tc>
        <w:tc>
          <w:tcPr>
            <w:tcW w:w="3127" w:type="dxa"/>
            <w:tcBorders>
              <w:top w:val="nil"/>
              <w:bottom w:val="nil"/>
              <w:right w:val="nil"/>
            </w:tcBorders>
            <w:shd w:val="clear" w:color="auto" w:fill="auto"/>
            <w:hideMark/>
          </w:tcPr>
          <w:p w14:paraId="150D8CDB" w14:textId="77777777" w:rsidR="00BB09D8" w:rsidRPr="00ED454F" w:rsidRDefault="00BB09D8" w:rsidP="003C06EC">
            <w:pPr>
              <w:rPr>
                <w:sz w:val="20"/>
                <w:szCs w:val="20"/>
                <w:lang w:eastAsia="en-AU"/>
              </w:rPr>
            </w:pPr>
            <w:r w:rsidRPr="00ED454F">
              <w:rPr>
                <w:sz w:val="20"/>
                <w:szCs w:val="20"/>
              </w:rPr>
              <w:t>8</w:t>
            </w:r>
            <w:r w:rsidRPr="00ED454F" w:rsidDel="00783DFF">
              <w:rPr>
                <w:sz w:val="20"/>
                <w:szCs w:val="20"/>
              </w:rPr>
              <w:t xml:space="preserve"> </w:t>
            </w:r>
            <w:r w:rsidRPr="00ED454F">
              <w:rPr>
                <w:sz w:val="20"/>
                <w:szCs w:val="20"/>
              </w:rPr>
              <w:t>session elective (28 hours total): consisting of 0·5 hours pre-class lecture video, 0·5 hours of case-based learning, 1·5 hours of hands-on cooking, 0·75 hours post class PBL session</w:t>
            </w:r>
            <w:r w:rsidRPr="00ED454F" w:rsidDel="00AA3AEE">
              <w:rPr>
                <w:sz w:val="20"/>
                <w:szCs w:val="20"/>
              </w:rPr>
              <w:t>.</w:t>
            </w:r>
          </w:p>
        </w:tc>
      </w:tr>
      <w:tr w:rsidR="00BB09D8" w:rsidRPr="00ED454F" w14:paraId="3FE0217F" w14:textId="77777777" w:rsidTr="003C06EC">
        <w:trPr>
          <w:trHeight w:val="864"/>
        </w:trPr>
        <w:tc>
          <w:tcPr>
            <w:tcW w:w="852" w:type="dxa"/>
            <w:tcBorders>
              <w:top w:val="nil"/>
              <w:left w:val="nil"/>
              <w:bottom w:val="nil"/>
            </w:tcBorders>
            <w:shd w:val="clear" w:color="auto" w:fill="auto"/>
            <w:hideMark/>
          </w:tcPr>
          <w:p w14:paraId="3C6AB8DE" w14:textId="77777777" w:rsidR="00BB09D8" w:rsidRPr="00ED454F" w:rsidRDefault="00BB09D8" w:rsidP="003C06EC">
            <w:pPr>
              <w:rPr>
                <w:color w:val="000000"/>
                <w:sz w:val="20"/>
                <w:szCs w:val="20"/>
                <w:lang w:eastAsia="en-AU"/>
              </w:rPr>
            </w:pPr>
            <w:proofErr w:type="spellStart"/>
            <w:r w:rsidRPr="00ED454F">
              <w:rPr>
                <w:color w:val="000000"/>
                <w:sz w:val="20"/>
                <w:szCs w:val="20"/>
                <w:lang w:eastAsia="en-AU"/>
              </w:rPr>
              <w:t>Razavi</w:t>
            </w:r>
            <w:proofErr w:type="spellEnd"/>
            <w:r w:rsidRPr="00ED454F">
              <w:rPr>
                <w:color w:val="000000"/>
                <w:sz w:val="20"/>
                <w:szCs w:val="20"/>
                <w:lang w:eastAsia="en-AU"/>
              </w:rPr>
              <w:t xml:space="preserve"> et al (2020)</w:t>
            </w:r>
          </w:p>
        </w:tc>
        <w:tc>
          <w:tcPr>
            <w:tcW w:w="990" w:type="dxa"/>
            <w:tcBorders>
              <w:top w:val="nil"/>
              <w:bottom w:val="nil"/>
            </w:tcBorders>
            <w:shd w:val="clear" w:color="auto" w:fill="auto"/>
            <w:hideMark/>
          </w:tcPr>
          <w:p w14:paraId="6542F224" w14:textId="77777777" w:rsidR="00BB09D8" w:rsidRPr="00ED454F" w:rsidRDefault="00BB09D8" w:rsidP="003C06EC">
            <w:pPr>
              <w:ind w:left="-110"/>
              <w:rPr>
                <w:color w:val="000000"/>
                <w:sz w:val="20"/>
                <w:szCs w:val="20"/>
                <w:lang w:eastAsia="en-AU"/>
              </w:rPr>
            </w:pPr>
            <w:r w:rsidRPr="00ED454F">
              <w:rPr>
                <w:color w:val="444444"/>
                <w:sz w:val="20"/>
                <w:szCs w:val="20"/>
                <w:lang w:eastAsia="en-AU"/>
              </w:rPr>
              <w:t>Cross-Sectional</w:t>
            </w:r>
          </w:p>
        </w:tc>
        <w:tc>
          <w:tcPr>
            <w:tcW w:w="1170" w:type="dxa"/>
            <w:tcBorders>
              <w:top w:val="nil"/>
              <w:bottom w:val="nil"/>
            </w:tcBorders>
            <w:shd w:val="clear" w:color="auto" w:fill="auto"/>
            <w:hideMark/>
          </w:tcPr>
          <w:p w14:paraId="54503295" w14:textId="77777777" w:rsidR="00BB09D8" w:rsidRPr="00ED454F" w:rsidRDefault="00BB09D8" w:rsidP="003C06EC">
            <w:pPr>
              <w:spacing w:line="259" w:lineRule="auto"/>
              <w:ind w:left="-110"/>
              <w:rPr>
                <w:color w:val="000000" w:themeColor="text1"/>
                <w:sz w:val="20"/>
                <w:szCs w:val="20"/>
                <w:lang w:eastAsia="en-AU"/>
              </w:rPr>
            </w:pPr>
            <w:r w:rsidRPr="00ED454F">
              <w:rPr>
                <w:color w:val="000000" w:themeColor="text1"/>
                <w:sz w:val="20"/>
                <w:szCs w:val="20"/>
                <w:lang w:eastAsia="en-AU"/>
              </w:rPr>
              <w:t>Varied Based</w:t>
            </w:r>
            <w:r w:rsidRPr="00ED454F" w:rsidDel="000B39AB">
              <w:rPr>
                <w:color w:val="000000" w:themeColor="text1"/>
                <w:sz w:val="20"/>
                <w:szCs w:val="20"/>
                <w:lang w:eastAsia="en-AU"/>
              </w:rPr>
              <w:t xml:space="preserve"> </w:t>
            </w:r>
            <w:r w:rsidRPr="00ED454F">
              <w:rPr>
                <w:color w:val="000000" w:themeColor="text1"/>
                <w:sz w:val="20"/>
                <w:szCs w:val="20"/>
                <w:lang w:eastAsia="en-AU"/>
              </w:rPr>
              <w:t>on Institution</w:t>
            </w:r>
          </w:p>
          <w:p w14:paraId="23B1605D" w14:textId="77777777" w:rsidR="00BB09D8" w:rsidRPr="00ED454F" w:rsidRDefault="00BB09D8" w:rsidP="003C06EC">
            <w:pPr>
              <w:rPr>
                <w:color w:val="000000"/>
                <w:sz w:val="20"/>
                <w:szCs w:val="20"/>
                <w:lang w:eastAsia="en-AU"/>
              </w:rPr>
            </w:pPr>
          </w:p>
        </w:tc>
        <w:tc>
          <w:tcPr>
            <w:tcW w:w="990" w:type="dxa"/>
            <w:tcBorders>
              <w:top w:val="nil"/>
              <w:bottom w:val="nil"/>
            </w:tcBorders>
            <w:shd w:val="clear" w:color="auto" w:fill="auto"/>
          </w:tcPr>
          <w:p w14:paraId="66CA8847" w14:textId="77777777" w:rsidR="00BB09D8" w:rsidRPr="00ED454F" w:rsidRDefault="00BB09D8" w:rsidP="003C06EC">
            <w:pPr>
              <w:rPr>
                <w:color w:val="000000"/>
                <w:sz w:val="20"/>
                <w:szCs w:val="20"/>
                <w:lang w:eastAsia="en-AU"/>
              </w:rPr>
            </w:pPr>
            <w:r w:rsidRPr="00ED454F">
              <w:rPr>
                <w:sz w:val="20"/>
                <w:szCs w:val="20"/>
              </w:rPr>
              <w:t>Medical students; n=4215; Attrition NR.</w:t>
            </w:r>
          </w:p>
        </w:tc>
        <w:tc>
          <w:tcPr>
            <w:tcW w:w="2700" w:type="dxa"/>
            <w:tcBorders>
              <w:top w:val="nil"/>
              <w:bottom w:val="nil"/>
            </w:tcBorders>
            <w:shd w:val="clear" w:color="auto" w:fill="auto"/>
            <w:hideMark/>
          </w:tcPr>
          <w:p w14:paraId="02DB0A5A" w14:textId="77777777" w:rsidR="00BB09D8" w:rsidRPr="00ED454F" w:rsidRDefault="00BB09D8" w:rsidP="003C06EC">
            <w:pPr>
              <w:rPr>
                <w:color w:val="000000"/>
                <w:sz w:val="20"/>
                <w:szCs w:val="20"/>
                <w:lang w:eastAsia="en-AU"/>
              </w:rPr>
            </w:pPr>
            <w:r w:rsidRPr="00ED454F">
              <w:rPr>
                <w:color w:val="000000" w:themeColor="text1"/>
                <w:sz w:val="20"/>
                <w:szCs w:val="20"/>
                <w:lang w:eastAsia="en-AU"/>
              </w:rPr>
              <w:t>To assess the association between participation in kitchen-based nutrition education and Mediterranean dietary intake among medical students.</w:t>
            </w:r>
          </w:p>
        </w:tc>
        <w:tc>
          <w:tcPr>
            <w:tcW w:w="3127" w:type="dxa"/>
            <w:tcBorders>
              <w:top w:val="nil"/>
              <w:bottom w:val="nil"/>
              <w:right w:val="nil"/>
            </w:tcBorders>
            <w:shd w:val="clear" w:color="auto" w:fill="auto"/>
            <w:hideMark/>
          </w:tcPr>
          <w:p w14:paraId="2828CA28" w14:textId="77777777" w:rsidR="00BB09D8" w:rsidRPr="00ED454F" w:rsidRDefault="00BB09D8" w:rsidP="003C06EC">
            <w:pPr>
              <w:rPr>
                <w:sz w:val="20"/>
                <w:szCs w:val="20"/>
                <w:lang w:eastAsia="en-AU"/>
              </w:rPr>
            </w:pPr>
            <w:r w:rsidRPr="00ED454F">
              <w:rPr>
                <w:sz w:val="20"/>
                <w:szCs w:val="20"/>
              </w:rPr>
              <w:t>8</w:t>
            </w:r>
            <w:r w:rsidRPr="00ED454F" w:rsidDel="00783DFF">
              <w:rPr>
                <w:sz w:val="20"/>
                <w:szCs w:val="20"/>
              </w:rPr>
              <w:t xml:space="preserve"> </w:t>
            </w:r>
            <w:r w:rsidRPr="00ED454F">
              <w:rPr>
                <w:sz w:val="20"/>
                <w:szCs w:val="20"/>
              </w:rPr>
              <w:t xml:space="preserve">session elective (32 hours total): consisting of </w:t>
            </w:r>
            <w:proofErr w:type="gramStart"/>
            <w:r w:rsidRPr="00ED454F">
              <w:rPr>
                <w:sz w:val="20"/>
                <w:szCs w:val="20"/>
              </w:rPr>
              <w:t>4 hour</w:t>
            </w:r>
            <w:proofErr w:type="gramEnd"/>
            <w:r w:rsidRPr="00ED454F">
              <w:rPr>
                <w:sz w:val="20"/>
                <w:szCs w:val="20"/>
              </w:rPr>
              <w:t xml:space="preserve"> modules divided into 1 hour online didactic program, 1·5 hours in-kitchen team-based case studies and nutrition discussion, 1·5 hours of hands-on cooking facilitated by physicians, chefs, and dietitians. </w:t>
            </w:r>
          </w:p>
        </w:tc>
      </w:tr>
      <w:tr w:rsidR="00BB09D8" w:rsidRPr="00ED454F" w14:paraId="74B2C559" w14:textId="77777777" w:rsidTr="003C06EC">
        <w:trPr>
          <w:trHeight w:val="864"/>
        </w:trPr>
        <w:tc>
          <w:tcPr>
            <w:tcW w:w="852" w:type="dxa"/>
            <w:tcBorders>
              <w:top w:val="nil"/>
              <w:left w:val="nil"/>
              <w:bottom w:val="single" w:sz="4" w:space="0" w:color="auto"/>
            </w:tcBorders>
            <w:shd w:val="clear" w:color="auto" w:fill="auto"/>
            <w:hideMark/>
          </w:tcPr>
          <w:p w14:paraId="1471E220" w14:textId="77777777" w:rsidR="00BB09D8" w:rsidRPr="00ED454F" w:rsidRDefault="00BB09D8" w:rsidP="003C06EC">
            <w:pPr>
              <w:rPr>
                <w:color w:val="000000"/>
                <w:sz w:val="20"/>
                <w:szCs w:val="20"/>
                <w:lang w:eastAsia="en-AU"/>
              </w:rPr>
            </w:pPr>
            <w:r w:rsidRPr="00ED454F">
              <w:rPr>
                <w:color w:val="000000"/>
                <w:sz w:val="20"/>
                <w:szCs w:val="20"/>
                <w:lang w:eastAsia="en-AU"/>
              </w:rPr>
              <w:t>Rothman et al (2020)</w:t>
            </w:r>
          </w:p>
        </w:tc>
        <w:tc>
          <w:tcPr>
            <w:tcW w:w="990" w:type="dxa"/>
            <w:tcBorders>
              <w:top w:val="nil"/>
              <w:bottom w:val="single" w:sz="4" w:space="0" w:color="auto"/>
            </w:tcBorders>
            <w:shd w:val="clear" w:color="auto" w:fill="auto"/>
            <w:hideMark/>
          </w:tcPr>
          <w:p w14:paraId="6FFCA90F" w14:textId="77777777" w:rsidR="00BB09D8" w:rsidRPr="00ED454F" w:rsidRDefault="00BB09D8" w:rsidP="003C06EC">
            <w:pPr>
              <w:ind w:left="-110"/>
              <w:rPr>
                <w:color w:val="000000"/>
                <w:sz w:val="20"/>
                <w:szCs w:val="20"/>
                <w:lang w:eastAsia="en-AU"/>
              </w:rPr>
            </w:pPr>
            <w:r w:rsidRPr="00ED454F">
              <w:rPr>
                <w:color w:val="000000"/>
                <w:sz w:val="20"/>
                <w:szCs w:val="20"/>
                <w:lang w:eastAsia="en-AU"/>
              </w:rPr>
              <w:t>Mixed methods</w:t>
            </w:r>
          </w:p>
        </w:tc>
        <w:tc>
          <w:tcPr>
            <w:tcW w:w="1170" w:type="dxa"/>
            <w:tcBorders>
              <w:top w:val="nil"/>
              <w:bottom w:val="single" w:sz="4" w:space="0" w:color="auto"/>
            </w:tcBorders>
            <w:shd w:val="clear" w:color="auto" w:fill="auto"/>
            <w:hideMark/>
          </w:tcPr>
          <w:p w14:paraId="4AEE9092" w14:textId="77777777" w:rsidR="00BB09D8" w:rsidRPr="00ED454F" w:rsidRDefault="00BB09D8" w:rsidP="003C06EC">
            <w:pPr>
              <w:rPr>
                <w:color w:val="000000"/>
                <w:sz w:val="20"/>
                <w:szCs w:val="20"/>
                <w:lang w:eastAsia="en-AU"/>
              </w:rPr>
            </w:pPr>
            <w:r w:rsidRPr="00ED454F">
              <w:rPr>
                <w:color w:val="000000"/>
                <w:sz w:val="20"/>
                <w:szCs w:val="20"/>
                <w:lang w:eastAsia="en-AU"/>
              </w:rPr>
              <w:t>Clinic-Based Teaching Kitchen and West Philadelphia High Schools</w:t>
            </w:r>
          </w:p>
        </w:tc>
        <w:tc>
          <w:tcPr>
            <w:tcW w:w="990" w:type="dxa"/>
            <w:tcBorders>
              <w:top w:val="nil"/>
              <w:bottom w:val="single" w:sz="4" w:space="0" w:color="auto"/>
            </w:tcBorders>
            <w:shd w:val="clear" w:color="auto" w:fill="auto"/>
          </w:tcPr>
          <w:p w14:paraId="3D2D0F13" w14:textId="77777777" w:rsidR="00BB09D8" w:rsidRPr="00ED454F" w:rsidRDefault="00BB09D8" w:rsidP="003C06EC">
            <w:pPr>
              <w:rPr>
                <w:color w:val="000000"/>
                <w:sz w:val="20"/>
                <w:szCs w:val="20"/>
                <w:lang w:eastAsia="en-AU"/>
              </w:rPr>
            </w:pPr>
            <w:r w:rsidRPr="00ED454F">
              <w:rPr>
                <w:sz w:val="20"/>
                <w:szCs w:val="20"/>
              </w:rPr>
              <w:t>Medical students; n=31; Attrition n=3%; 4th year.</w:t>
            </w:r>
          </w:p>
        </w:tc>
        <w:tc>
          <w:tcPr>
            <w:tcW w:w="2700" w:type="dxa"/>
            <w:tcBorders>
              <w:top w:val="nil"/>
              <w:bottom w:val="single" w:sz="4" w:space="0" w:color="auto"/>
            </w:tcBorders>
            <w:shd w:val="clear" w:color="auto" w:fill="auto"/>
            <w:hideMark/>
          </w:tcPr>
          <w:p w14:paraId="04A8242C" w14:textId="77777777" w:rsidR="00BB09D8" w:rsidRPr="00ED454F" w:rsidRDefault="00BB09D8" w:rsidP="003C06EC">
            <w:pPr>
              <w:rPr>
                <w:color w:val="000000"/>
                <w:sz w:val="20"/>
                <w:szCs w:val="20"/>
                <w:lang w:eastAsia="en-AU"/>
              </w:rPr>
            </w:pPr>
            <w:r w:rsidRPr="00ED454F">
              <w:rPr>
                <w:color w:val="000000" w:themeColor="text1"/>
                <w:sz w:val="20"/>
                <w:szCs w:val="20"/>
                <w:lang w:eastAsia="en-AU"/>
              </w:rPr>
              <w:t>To report initial outcomes of a pilot nutrition and culinary medicine course targeting post-clerkship</w:t>
            </w:r>
          </w:p>
        </w:tc>
        <w:tc>
          <w:tcPr>
            <w:tcW w:w="3127" w:type="dxa"/>
            <w:tcBorders>
              <w:top w:val="nil"/>
              <w:bottom w:val="single" w:sz="4" w:space="0" w:color="auto"/>
              <w:right w:val="nil"/>
            </w:tcBorders>
            <w:shd w:val="clear" w:color="auto" w:fill="auto"/>
            <w:hideMark/>
          </w:tcPr>
          <w:p w14:paraId="41805E69" w14:textId="77777777" w:rsidR="00BB09D8" w:rsidRPr="00ED454F" w:rsidRDefault="00BB09D8" w:rsidP="003C06EC">
            <w:pPr>
              <w:rPr>
                <w:sz w:val="20"/>
                <w:szCs w:val="20"/>
                <w:lang w:eastAsia="en-AU"/>
              </w:rPr>
            </w:pPr>
            <w:r w:rsidRPr="00ED454F">
              <w:rPr>
                <w:sz w:val="20"/>
                <w:szCs w:val="20"/>
              </w:rPr>
              <w:t>8</w:t>
            </w:r>
            <w:r w:rsidRPr="00ED454F" w:rsidDel="00783DFF">
              <w:rPr>
                <w:sz w:val="20"/>
                <w:szCs w:val="20"/>
              </w:rPr>
              <w:t xml:space="preserve"> </w:t>
            </w:r>
            <w:r w:rsidRPr="00ED454F">
              <w:rPr>
                <w:sz w:val="20"/>
                <w:szCs w:val="20"/>
              </w:rPr>
              <w:t>session elective (2 hours each) taught by a chef instructor, dietitians, physicians, and patients: consisting of briefing on relevant nutrition science (5 minute), culinary instruction and demonstration by a chef (75 minutes),</w:t>
            </w:r>
            <w:r w:rsidRPr="00ED454F" w:rsidDel="009A47F2">
              <w:rPr>
                <w:sz w:val="20"/>
                <w:szCs w:val="20"/>
              </w:rPr>
              <w:t xml:space="preserve"> </w:t>
            </w:r>
            <w:r w:rsidRPr="00ED454F">
              <w:rPr>
                <w:sz w:val="20"/>
                <w:szCs w:val="20"/>
              </w:rPr>
              <w:t>case discussion during eating of a meal (30 minutes),</w:t>
            </w:r>
            <w:r w:rsidRPr="00ED454F" w:rsidDel="00C1474A">
              <w:rPr>
                <w:sz w:val="20"/>
                <w:szCs w:val="20"/>
              </w:rPr>
              <w:t xml:space="preserve"> </w:t>
            </w:r>
            <w:r w:rsidRPr="00ED454F">
              <w:rPr>
                <w:sz w:val="20"/>
                <w:szCs w:val="20"/>
              </w:rPr>
              <w:t xml:space="preserve">a concluding debrief of the session (10 minutes) and a capstone project involving food planning for mock patient and presentation. Additional service component included 8, weekly sessions teaching disease prevention practical nutrition to high school students (hours NR). </w:t>
            </w:r>
          </w:p>
        </w:tc>
      </w:tr>
      <w:tr w:rsidR="00BB09D8" w:rsidRPr="00ED454F" w14:paraId="7058E623" w14:textId="77777777" w:rsidTr="003C06EC">
        <w:trPr>
          <w:trHeight w:val="66"/>
        </w:trPr>
        <w:tc>
          <w:tcPr>
            <w:tcW w:w="9829" w:type="dxa"/>
            <w:gridSpan w:val="6"/>
            <w:tcBorders>
              <w:top w:val="single" w:sz="4" w:space="0" w:color="auto"/>
              <w:left w:val="nil"/>
              <w:bottom w:val="nil"/>
              <w:right w:val="nil"/>
            </w:tcBorders>
            <w:shd w:val="clear" w:color="auto" w:fill="auto"/>
          </w:tcPr>
          <w:p w14:paraId="0949D40F" w14:textId="77777777" w:rsidR="00BB09D8" w:rsidRPr="00ED454F" w:rsidRDefault="00BB09D8" w:rsidP="003C06EC">
            <w:pPr>
              <w:jc w:val="both"/>
              <w:rPr>
                <w:sz w:val="20"/>
                <w:szCs w:val="20"/>
              </w:rPr>
            </w:pPr>
            <w:r w:rsidRPr="00ED454F">
              <w:rPr>
                <w:sz w:val="20"/>
                <w:szCs w:val="20"/>
              </w:rPr>
              <w:t>n=</w:t>
            </w:r>
            <w:r>
              <w:rPr>
                <w:sz w:val="20"/>
                <w:szCs w:val="20"/>
              </w:rPr>
              <w:t>S</w:t>
            </w:r>
            <w:r w:rsidRPr="00ED454F">
              <w:rPr>
                <w:sz w:val="20"/>
                <w:szCs w:val="20"/>
              </w:rPr>
              <w:t xml:space="preserve">ample </w:t>
            </w:r>
            <w:r>
              <w:rPr>
                <w:sz w:val="20"/>
                <w:szCs w:val="20"/>
              </w:rPr>
              <w:t>p</w:t>
            </w:r>
            <w:r w:rsidRPr="00ED454F">
              <w:rPr>
                <w:sz w:val="20"/>
                <w:szCs w:val="20"/>
              </w:rPr>
              <w:t>opulation; NR=</w:t>
            </w:r>
            <w:r>
              <w:rPr>
                <w:sz w:val="20"/>
                <w:szCs w:val="20"/>
              </w:rPr>
              <w:t>N</w:t>
            </w:r>
            <w:r w:rsidRPr="00ED454F">
              <w:rPr>
                <w:sz w:val="20"/>
                <w:szCs w:val="20"/>
              </w:rPr>
              <w:t xml:space="preserve">ot reported; CHOP=Cooking Through Health Optimisation; PBL = </w:t>
            </w:r>
            <w:r>
              <w:rPr>
                <w:sz w:val="20"/>
                <w:szCs w:val="20"/>
              </w:rPr>
              <w:t>P</w:t>
            </w:r>
            <w:r w:rsidRPr="00ED454F">
              <w:rPr>
                <w:sz w:val="20"/>
                <w:szCs w:val="20"/>
              </w:rPr>
              <w:t>eer-based learning</w:t>
            </w:r>
          </w:p>
        </w:tc>
      </w:tr>
      <w:tr w:rsidR="00BB09D8" w:rsidRPr="00ED454F" w14:paraId="5404C8E2" w14:textId="77777777" w:rsidTr="003C06EC">
        <w:trPr>
          <w:trHeight w:val="282"/>
        </w:trPr>
        <w:tc>
          <w:tcPr>
            <w:tcW w:w="852" w:type="dxa"/>
            <w:tcBorders>
              <w:top w:val="nil"/>
              <w:left w:val="nil"/>
              <w:bottom w:val="nil"/>
            </w:tcBorders>
            <w:shd w:val="clear" w:color="auto" w:fill="auto"/>
          </w:tcPr>
          <w:p w14:paraId="1D81D0BE" w14:textId="77777777" w:rsidR="00BB09D8" w:rsidRPr="00ED454F" w:rsidRDefault="00BB09D8" w:rsidP="003C06EC">
            <w:pPr>
              <w:jc w:val="both"/>
              <w:rPr>
                <w:color w:val="000000"/>
                <w:sz w:val="20"/>
                <w:szCs w:val="20"/>
                <w:lang w:eastAsia="en-AU"/>
              </w:rPr>
            </w:pPr>
          </w:p>
        </w:tc>
        <w:tc>
          <w:tcPr>
            <w:tcW w:w="990" w:type="dxa"/>
            <w:tcBorders>
              <w:top w:val="nil"/>
              <w:bottom w:val="nil"/>
            </w:tcBorders>
            <w:shd w:val="clear" w:color="auto" w:fill="auto"/>
          </w:tcPr>
          <w:p w14:paraId="1831BE9A" w14:textId="77777777" w:rsidR="00BB09D8" w:rsidRPr="00ED454F" w:rsidRDefault="00BB09D8" w:rsidP="003C06EC">
            <w:pPr>
              <w:ind w:left="-110"/>
              <w:jc w:val="both"/>
              <w:rPr>
                <w:color w:val="000000"/>
                <w:sz w:val="20"/>
                <w:szCs w:val="20"/>
                <w:lang w:eastAsia="en-AU"/>
              </w:rPr>
            </w:pPr>
          </w:p>
        </w:tc>
        <w:tc>
          <w:tcPr>
            <w:tcW w:w="1170" w:type="dxa"/>
            <w:tcBorders>
              <w:top w:val="nil"/>
              <w:bottom w:val="nil"/>
            </w:tcBorders>
            <w:shd w:val="clear" w:color="auto" w:fill="auto"/>
          </w:tcPr>
          <w:p w14:paraId="4769C88D" w14:textId="77777777" w:rsidR="00BB09D8" w:rsidRPr="00ED454F" w:rsidRDefault="00BB09D8" w:rsidP="003C06EC">
            <w:pPr>
              <w:jc w:val="both"/>
              <w:rPr>
                <w:color w:val="000000"/>
                <w:sz w:val="20"/>
                <w:szCs w:val="20"/>
                <w:lang w:eastAsia="en-AU"/>
              </w:rPr>
            </w:pPr>
          </w:p>
        </w:tc>
        <w:tc>
          <w:tcPr>
            <w:tcW w:w="990" w:type="dxa"/>
            <w:tcBorders>
              <w:top w:val="nil"/>
              <w:bottom w:val="nil"/>
            </w:tcBorders>
            <w:shd w:val="clear" w:color="auto" w:fill="auto"/>
          </w:tcPr>
          <w:p w14:paraId="403FA250" w14:textId="77777777" w:rsidR="00BB09D8" w:rsidRPr="00ED454F" w:rsidRDefault="00BB09D8" w:rsidP="003C06EC">
            <w:pPr>
              <w:jc w:val="both"/>
              <w:rPr>
                <w:color w:val="000000"/>
                <w:sz w:val="20"/>
                <w:szCs w:val="20"/>
                <w:lang w:eastAsia="en-AU"/>
              </w:rPr>
            </w:pPr>
          </w:p>
        </w:tc>
        <w:tc>
          <w:tcPr>
            <w:tcW w:w="2700" w:type="dxa"/>
            <w:tcBorders>
              <w:top w:val="nil"/>
              <w:bottom w:val="nil"/>
            </w:tcBorders>
            <w:shd w:val="clear" w:color="auto" w:fill="auto"/>
          </w:tcPr>
          <w:p w14:paraId="6442AFC7" w14:textId="77777777" w:rsidR="00BB09D8" w:rsidRPr="00ED454F" w:rsidRDefault="00BB09D8" w:rsidP="003C06EC">
            <w:pPr>
              <w:jc w:val="both"/>
              <w:rPr>
                <w:color w:val="000000"/>
                <w:sz w:val="20"/>
                <w:szCs w:val="20"/>
                <w:lang w:eastAsia="en-AU"/>
              </w:rPr>
            </w:pPr>
          </w:p>
        </w:tc>
        <w:tc>
          <w:tcPr>
            <w:tcW w:w="3127" w:type="dxa"/>
            <w:tcBorders>
              <w:top w:val="nil"/>
              <w:bottom w:val="nil"/>
              <w:right w:val="nil"/>
            </w:tcBorders>
            <w:shd w:val="clear" w:color="auto" w:fill="auto"/>
          </w:tcPr>
          <w:p w14:paraId="6D5E4187" w14:textId="77777777" w:rsidR="00BB09D8" w:rsidRPr="00ED454F" w:rsidRDefault="00BB09D8" w:rsidP="003C06EC">
            <w:pPr>
              <w:jc w:val="both"/>
              <w:rPr>
                <w:color w:val="000000"/>
                <w:sz w:val="20"/>
                <w:szCs w:val="20"/>
                <w:lang w:eastAsia="en-AU"/>
              </w:rPr>
            </w:pPr>
          </w:p>
        </w:tc>
      </w:tr>
    </w:tbl>
    <w:p w14:paraId="569B7538" w14:textId="77777777" w:rsidR="00BB09D8" w:rsidRPr="00ED454F" w:rsidRDefault="00BB09D8" w:rsidP="00BB09D8">
      <w:pPr>
        <w:spacing w:line="480" w:lineRule="auto"/>
        <w:jc w:val="both"/>
        <w:rPr>
          <w:b/>
          <w:sz w:val="20"/>
          <w:szCs w:val="20"/>
        </w:rPr>
      </w:pPr>
    </w:p>
    <w:tbl>
      <w:tblPr>
        <w:tblW w:w="9972" w:type="dxa"/>
        <w:tblLook w:val="04A0" w:firstRow="1" w:lastRow="0" w:firstColumn="1" w:lastColumn="0" w:noHBand="0" w:noVBand="1"/>
      </w:tblPr>
      <w:tblGrid>
        <w:gridCol w:w="1369"/>
        <w:gridCol w:w="4358"/>
        <w:gridCol w:w="4245"/>
      </w:tblGrid>
      <w:tr w:rsidR="00BB09D8" w:rsidRPr="00ED454F" w14:paraId="2B94470C" w14:textId="77777777" w:rsidTr="003C06EC">
        <w:trPr>
          <w:trHeight w:val="265"/>
        </w:trPr>
        <w:tc>
          <w:tcPr>
            <w:tcW w:w="9972" w:type="dxa"/>
            <w:gridSpan w:val="3"/>
            <w:tcBorders>
              <w:bottom w:val="single" w:sz="4" w:space="0" w:color="auto"/>
            </w:tcBorders>
            <w:shd w:val="clear" w:color="auto" w:fill="auto"/>
          </w:tcPr>
          <w:p w14:paraId="24ECCD7F" w14:textId="77777777" w:rsidR="00BB09D8" w:rsidRPr="00ED454F" w:rsidRDefault="00BB09D8" w:rsidP="003C06EC">
            <w:pPr>
              <w:jc w:val="both"/>
              <w:rPr>
                <w:b/>
                <w:color w:val="000000"/>
                <w:sz w:val="20"/>
                <w:szCs w:val="20"/>
                <w:lang w:eastAsia="en-AU"/>
              </w:rPr>
            </w:pPr>
            <w:r w:rsidRPr="00ED454F">
              <w:rPr>
                <w:b/>
                <w:bCs/>
                <w:color w:val="000000"/>
                <w:sz w:val="20"/>
                <w:szCs w:val="20"/>
                <w:lang w:eastAsia="en-AU"/>
              </w:rPr>
              <w:t xml:space="preserve">Table </w:t>
            </w:r>
            <w:r>
              <w:rPr>
                <w:b/>
                <w:bCs/>
                <w:color w:val="000000"/>
                <w:sz w:val="20"/>
                <w:szCs w:val="20"/>
                <w:lang w:eastAsia="en-AU"/>
              </w:rPr>
              <w:t>A2</w:t>
            </w:r>
            <w:r w:rsidRPr="00ED454F">
              <w:rPr>
                <w:b/>
                <w:bCs/>
                <w:color w:val="000000"/>
                <w:sz w:val="20"/>
                <w:szCs w:val="20"/>
                <w:lang w:eastAsia="en-AU"/>
              </w:rPr>
              <w:t xml:space="preserve"> </w:t>
            </w:r>
            <w:r w:rsidRPr="00BC7989">
              <w:rPr>
                <w:color w:val="000000"/>
                <w:sz w:val="20"/>
                <w:szCs w:val="20"/>
                <w:lang w:eastAsia="en-AU"/>
              </w:rPr>
              <w:t>Study Summaries</w:t>
            </w:r>
          </w:p>
        </w:tc>
      </w:tr>
      <w:tr w:rsidR="00BB09D8" w:rsidRPr="00ED454F" w14:paraId="4E304284" w14:textId="77777777" w:rsidTr="003C06EC">
        <w:trPr>
          <w:trHeight w:val="265"/>
        </w:trPr>
        <w:tc>
          <w:tcPr>
            <w:tcW w:w="1369" w:type="dxa"/>
            <w:tcBorders>
              <w:top w:val="single" w:sz="4" w:space="0" w:color="auto"/>
              <w:bottom w:val="single" w:sz="4" w:space="0" w:color="auto"/>
            </w:tcBorders>
            <w:shd w:val="clear" w:color="auto" w:fill="auto"/>
            <w:hideMark/>
          </w:tcPr>
          <w:p w14:paraId="72765CE4" w14:textId="77777777" w:rsidR="00BB09D8" w:rsidRPr="00ED454F" w:rsidRDefault="00BB09D8" w:rsidP="003C06EC">
            <w:pPr>
              <w:jc w:val="both"/>
              <w:rPr>
                <w:b/>
                <w:color w:val="000000"/>
                <w:sz w:val="20"/>
                <w:szCs w:val="20"/>
                <w:lang w:eastAsia="en-AU"/>
              </w:rPr>
            </w:pPr>
            <w:r w:rsidRPr="00ED454F">
              <w:rPr>
                <w:b/>
                <w:color w:val="000000"/>
                <w:sz w:val="20"/>
                <w:szCs w:val="20"/>
                <w:lang w:eastAsia="en-AU"/>
              </w:rPr>
              <w:t>Authors</w:t>
            </w:r>
          </w:p>
        </w:tc>
        <w:tc>
          <w:tcPr>
            <w:tcW w:w="4358" w:type="dxa"/>
            <w:tcBorders>
              <w:top w:val="single" w:sz="4" w:space="0" w:color="auto"/>
              <w:bottom w:val="single" w:sz="4" w:space="0" w:color="auto"/>
            </w:tcBorders>
            <w:shd w:val="clear" w:color="auto" w:fill="auto"/>
            <w:hideMark/>
          </w:tcPr>
          <w:p w14:paraId="41D6863F" w14:textId="77777777" w:rsidR="00BB09D8" w:rsidRPr="00ED454F" w:rsidRDefault="00BB09D8" w:rsidP="003C06EC">
            <w:pPr>
              <w:jc w:val="both"/>
              <w:rPr>
                <w:b/>
                <w:color w:val="000000"/>
                <w:sz w:val="20"/>
                <w:szCs w:val="20"/>
                <w:lang w:eastAsia="en-AU"/>
              </w:rPr>
            </w:pPr>
            <w:r w:rsidRPr="00ED454F">
              <w:rPr>
                <w:b/>
                <w:color w:val="000000"/>
                <w:sz w:val="20"/>
                <w:szCs w:val="20"/>
                <w:lang w:eastAsia="en-AU"/>
              </w:rPr>
              <w:t>Outcome measures</w:t>
            </w:r>
          </w:p>
        </w:tc>
        <w:tc>
          <w:tcPr>
            <w:tcW w:w="4245" w:type="dxa"/>
            <w:tcBorders>
              <w:top w:val="single" w:sz="4" w:space="0" w:color="auto"/>
              <w:bottom w:val="single" w:sz="4" w:space="0" w:color="auto"/>
            </w:tcBorders>
            <w:shd w:val="clear" w:color="auto" w:fill="auto"/>
          </w:tcPr>
          <w:p w14:paraId="5DE8FC9F" w14:textId="77777777" w:rsidR="00BB09D8" w:rsidRPr="00ED454F" w:rsidRDefault="00BB09D8" w:rsidP="003C06EC">
            <w:pPr>
              <w:jc w:val="both"/>
              <w:rPr>
                <w:color w:val="000000"/>
                <w:sz w:val="20"/>
                <w:szCs w:val="20"/>
                <w:lang w:eastAsia="en-AU"/>
              </w:rPr>
            </w:pPr>
            <w:r w:rsidRPr="00ED454F">
              <w:rPr>
                <w:b/>
                <w:color w:val="000000"/>
                <w:sz w:val="20"/>
                <w:szCs w:val="20"/>
                <w:lang w:eastAsia="en-AU"/>
              </w:rPr>
              <w:t>Notable Findings</w:t>
            </w:r>
          </w:p>
        </w:tc>
      </w:tr>
      <w:tr w:rsidR="00BB09D8" w:rsidRPr="00ED454F" w14:paraId="61E46855" w14:textId="77777777" w:rsidTr="003C06EC">
        <w:trPr>
          <w:trHeight w:val="864"/>
        </w:trPr>
        <w:tc>
          <w:tcPr>
            <w:tcW w:w="1369" w:type="dxa"/>
            <w:tcBorders>
              <w:top w:val="single" w:sz="4" w:space="0" w:color="auto"/>
            </w:tcBorders>
            <w:shd w:val="clear" w:color="auto" w:fill="auto"/>
            <w:hideMark/>
          </w:tcPr>
          <w:p w14:paraId="2C74AB3B" w14:textId="77777777" w:rsidR="00BB09D8" w:rsidRPr="00ED454F" w:rsidRDefault="00BB09D8" w:rsidP="003C06EC">
            <w:pPr>
              <w:rPr>
                <w:color w:val="000000"/>
                <w:sz w:val="20"/>
                <w:szCs w:val="20"/>
                <w:lang w:eastAsia="en-AU"/>
              </w:rPr>
            </w:pPr>
            <w:proofErr w:type="spellStart"/>
            <w:r w:rsidRPr="00ED454F">
              <w:rPr>
                <w:color w:val="000000"/>
                <w:sz w:val="20"/>
                <w:szCs w:val="20"/>
                <w:lang w:eastAsia="en-AU"/>
              </w:rPr>
              <w:t>Monlezun</w:t>
            </w:r>
            <w:proofErr w:type="spellEnd"/>
            <w:r w:rsidRPr="00ED454F">
              <w:rPr>
                <w:color w:val="000000"/>
                <w:sz w:val="20"/>
                <w:szCs w:val="20"/>
                <w:lang w:eastAsia="en-AU"/>
              </w:rPr>
              <w:t xml:space="preserve"> et al (2015)</w:t>
            </w:r>
          </w:p>
        </w:tc>
        <w:tc>
          <w:tcPr>
            <w:tcW w:w="4358" w:type="dxa"/>
            <w:tcBorders>
              <w:top w:val="single" w:sz="4" w:space="0" w:color="auto"/>
            </w:tcBorders>
            <w:shd w:val="clear" w:color="auto" w:fill="auto"/>
            <w:hideMark/>
          </w:tcPr>
          <w:p w14:paraId="12D9B1C8" w14:textId="77777777" w:rsidR="00BB09D8" w:rsidRPr="00ED454F" w:rsidRDefault="00BB09D8" w:rsidP="003C06EC">
            <w:pPr>
              <w:rPr>
                <w:sz w:val="20"/>
                <w:szCs w:val="20"/>
              </w:rPr>
            </w:pPr>
            <w:r w:rsidRPr="00ED454F">
              <w:rPr>
                <w:b/>
                <w:sz w:val="20"/>
                <w:szCs w:val="20"/>
              </w:rPr>
              <w:t>Quantitative</w:t>
            </w:r>
            <w:r w:rsidRPr="00ED454F">
              <w:rPr>
                <w:sz w:val="20"/>
                <w:szCs w:val="20"/>
              </w:rPr>
              <w:t>: Student diet and attitudes and competencies counselling patients on nutrition were compared using conditional multivariate logistic regression, as well as propensity score-weighted, and longitudinal panel analyses using 4 sets of the same 59 question survey.</w:t>
            </w:r>
          </w:p>
        </w:tc>
        <w:tc>
          <w:tcPr>
            <w:tcW w:w="4245" w:type="dxa"/>
            <w:tcBorders>
              <w:top w:val="single" w:sz="4" w:space="0" w:color="auto"/>
            </w:tcBorders>
            <w:shd w:val="clear" w:color="auto" w:fill="auto"/>
          </w:tcPr>
          <w:p w14:paraId="4485F3BD" w14:textId="77777777" w:rsidR="00BB09D8" w:rsidRPr="00ED454F" w:rsidRDefault="00BB09D8" w:rsidP="003C06EC">
            <w:pPr>
              <w:rPr>
                <w:color w:val="000000"/>
                <w:sz w:val="20"/>
                <w:szCs w:val="20"/>
                <w:lang w:eastAsia="en-AU"/>
              </w:rPr>
            </w:pPr>
            <w:r w:rsidRPr="00ED454F">
              <w:rPr>
                <w:color w:val="000000" w:themeColor="text1"/>
                <w:sz w:val="20"/>
                <w:szCs w:val="20"/>
                <w:lang w:eastAsia="en-AU"/>
              </w:rPr>
              <w:t>After fully adjusted conditional multivariate logistic regression, Tulane University’s CHOP significantly increased the pooled odds of total proficiency in overall competencies by 72% when compared to traditional clinical education (OR=1·72, 95% CI: 1·54-1·92, p&lt;0·001).</w:t>
            </w:r>
          </w:p>
        </w:tc>
      </w:tr>
      <w:tr w:rsidR="00BB09D8" w:rsidRPr="00ED454F" w14:paraId="4AB1C038" w14:textId="77777777" w:rsidTr="003C06EC">
        <w:trPr>
          <w:trHeight w:val="864"/>
        </w:trPr>
        <w:tc>
          <w:tcPr>
            <w:tcW w:w="1369" w:type="dxa"/>
            <w:shd w:val="clear" w:color="auto" w:fill="auto"/>
            <w:hideMark/>
          </w:tcPr>
          <w:p w14:paraId="12837A72" w14:textId="77777777" w:rsidR="00BB09D8" w:rsidRPr="00ED454F" w:rsidRDefault="00BB09D8" w:rsidP="003C06EC">
            <w:pPr>
              <w:rPr>
                <w:color w:val="000000"/>
                <w:sz w:val="20"/>
                <w:szCs w:val="20"/>
                <w:lang w:eastAsia="en-AU"/>
              </w:rPr>
            </w:pPr>
            <w:proofErr w:type="spellStart"/>
            <w:r w:rsidRPr="00ED454F">
              <w:rPr>
                <w:color w:val="000000"/>
                <w:sz w:val="20"/>
                <w:szCs w:val="20"/>
                <w:lang w:eastAsia="en-AU"/>
              </w:rPr>
              <w:t>Dreibelbis</w:t>
            </w:r>
            <w:proofErr w:type="spellEnd"/>
            <w:r w:rsidRPr="00ED454F">
              <w:rPr>
                <w:color w:val="000000"/>
                <w:sz w:val="20"/>
                <w:szCs w:val="20"/>
                <w:lang w:eastAsia="en-AU"/>
              </w:rPr>
              <w:t xml:space="preserve"> &amp; George (2017)</w:t>
            </w:r>
          </w:p>
        </w:tc>
        <w:tc>
          <w:tcPr>
            <w:tcW w:w="4358" w:type="dxa"/>
            <w:shd w:val="clear" w:color="auto" w:fill="auto"/>
            <w:hideMark/>
          </w:tcPr>
          <w:p w14:paraId="58FD1AAA" w14:textId="77777777" w:rsidR="00BB09D8" w:rsidRPr="00ED454F" w:rsidRDefault="00BB09D8" w:rsidP="003C06EC">
            <w:pPr>
              <w:rPr>
                <w:sz w:val="20"/>
                <w:szCs w:val="20"/>
              </w:rPr>
            </w:pPr>
            <w:r w:rsidRPr="00ED454F">
              <w:rPr>
                <w:b/>
                <w:sz w:val="20"/>
                <w:szCs w:val="20"/>
              </w:rPr>
              <w:t>Qualitative</w:t>
            </w:r>
            <w:r w:rsidRPr="00ED454F">
              <w:rPr>
                <w:sz w:val="20"/>
                <w:szCs w:val="20"/>
              </w:rPr>
              <w:t>: Observations by researchers evaluating the interactions and experiences of students and elders, post-intervention written self-reflections by students and elders participating in the course.</w:t>
            </w:r>
          </w:p>
        </w:tc>
        <w:tc>
          <w:tcPr>
            <w:tcW w:w="4245" w:type="dxa"/>
            <w:shd w:val="clear" w:color="auto" w:fill="auto"/>
          </w:tcPr>
          <w:p w14:paraId="00F4CEE4" w14:textId="77777777" w:rsidR="00BB09D8" w:rsidRPr="00ED454F" w:rsidRDefault="00BB09D8" w:rsidP="003C06EC">
            <w:pPr>
              <w:rPr>
                <w:color w:val="000000"/>
                <w:sz w:val="20"/>
                <w:szCs w:val="20"/>
                <w:lang w:eastAsia="en-AU"/>
              </w:rPr>
            </w:pPr>
            <w:r w:rsidRPr="00ED454F">
              <w:rPr>
                <w:color w:val="000000"/>
                <w:sz w:val="20"/>
                <w:szCs w:val="20"/>
                <w:lang w:eastAsia="en-AU"/>
              </w:rPr>
              <w:t>Participants shared the perception that elders had been able to successfully impart their lived experience and developed an understanding of the logistical and economic challenges patients face while making nutritional choices.</w:t>
            </w:r>
          </w:p>
        </w:tc>
      </w:tr>
      <w:tr w:rsidR="00BB09D8" w:rsidRPr="00ED454F" w14:paraId="21AEF152" w14:textId="77777777" w:rsidTr="003C06EC">
        <w:trPr>
          <w:trHeight w:val="864"/>
        </w:trPr>
        <w:tc>
          <w:tcPr>
            <w:tcW w:w="1369" w:type="dxa"/>
            <w:shd w:val="clear" w:color="auto" w:fill="auto"/>
            <w:hideMark/>
          </w:tcPr>
          <w:p w14:paraId="2027F173" w14:textId="77777777" w:rsidR="00BB09D8" w:rsidRPr="00ED454F" w:rsidRDefault="00BB09D8" w:rsidP="003C06EC">
            <w:pPr>
              <w:rPr>
                <w:color w:val="000000"/>
                <w:sz w:val="20"/>
                <w:szCs w:val="20"/>
                <w:lang w:eastAsia="en-AU"/>
              </w:rPr>
            </w:pPr>
            <w:proofErr w:type="spellStart"/>
            <w:r w:rsidRPr="00ED454F">
              <w:rPr>
                <w:color w:val="000000"/>
                <w:sz w:val="20"/>
                <w:szCs w:val="20"/>
                <w:lang w:eastAsia="en-AU"/>
              </w:rPr>
              <w:lastRenderedPageBreak/>
              <w:t>Jaroudi</w:t>
            </w:r>
            <w:proofErr w:type="spellEnd"/>
            <w:r w:rsidRPr="00ED454F">
              <w:rPr>
                <w:color w:val="000000"/>
                <w:sz w:val="20"/>
                <w:szCs w:val="20"/>
                <w:lang w:eastAsia="en-AU"/>
              </w:rPr>
              <w:t xml:space="preserve"> et al (2018)</w:t>
            </w:r>
          </w:p>
        </w:tc>
        <w:tc>
          <w:tcPr>
            <w:tcW w:w="4358" w:type="dxa"/>
            <w:shd w:val="clear" w:color="auto" w:fill="auto"/>
            <w:hideMark/>
          </w:tcPr>
          <w:p w14:paraId="37668432" w14:textId="77777777" w:rsidR="00BB09D8" w:rsidRPr="00ED454F" w:rsidRDefault="00BB09D8" w:rsidP="003C06EC">
            <w:pPr>
              <w:rPr>
                <w:sz w:val="20"/>
                <w:szCs w:val="20"/>
              </w:rPr>
            </w:pPr>
            <w:r w:rsidRPr="00ED454F">
              <w:rPr>
                <w:b/>
                <w:sz w:val="20"/>
                <w:szCs w:val="20"/>
              </w:rPr>
              <w:t>Quantitative</w:t>
            </w:r>
            <w:r w:rsidRPr="00ED454F">
              <w:rPr>
                <w:sz w:val="20"/>
                <w:szCs w:val="20"/>
              </w:rPr>
              <w:t>: Pre</w:t>
            </w:r>
            <w:r w:rsidRPr="00ED454F" w:rsidDel="00EB6A1D">
              <w:rPr>
                <w:sz w:val="20"/>
                <w:szCs w:val="20"/>
              </w:rPr>
              <w:t>-</w:t>
            </w:r>
            <w:r w:rsidRPr="00ED454F">
              <w:rPr>
                <w:sz w:val="20"/>
                <w:szCs w:val="20"/>
              </w:rPr>
              <w:t xml:space="preserve"> and post-course Likert-scale surveys of culinary skill, knowledge of ingredients, knowledge of cooking techniques and ability to use kitchen supplies. Analysed using Mann-Whitney U test. A second pre- and post- course Likert scale survey and open-ended questions to assess nutrition</w:t>
            </w:r>
            <w:r w:rsidRPr="00ED454F" w:rsidDel="00E61062">
              <w:rPr>
                <w:sz w:val="20"/>
                <w:szCs w:val="20"/>
              </w:rPr>
              <w:t xml:space="preserve"> </w:t>
            </w:r>
            <w:r w:rsidRPr="00ED454F">
              <w:rPr>
                <w:sz w:val="20"/>
                <w:szCs w:val="20"/>
              </w:rPr>
              <w:t>knowledge and confidence, cooking habits, and factors that contribute to success of</w:t>
            </w:r>
            <w:r w:rsidRPr="00ED454F" w:rsidDel="00E61062">
              <w:rPr>
                <w:sz w:val="20"/>
                <w:szCs w:val="20"/>
              </w:rPr>
              <w:t xml:space="preserve"> </w:t>
            </w:r>
            <w:r w:rsidRPr="00ED454F">
              <w:rPr>
                <w:sz w:val="20"/>
                <w:szCs w:val="20"/>
              </w:rPr>
              <w:t>physician in promoting lifestyle changes. Analysed using Mann-Whitney U test.</w:t>
            </w:r>
          </w:p>
        </w:tc>
        <w:tc>
          <w:tcPr>
            <w:tcW w:w="4245" w:type="dxa"/>
            <w:shd w:val="clear" w:color="auto" w:fill="auto"/>
          </w:tcPr>
          <w:p w14:paraId="72EA4D93" w14:textId="77777777" w:rsidR="00BB09D8" w:rsidRPr="00ED454F" w:rsidRDefault="00BB09D8" w:rsidP="003C06EC">
            <w:pPr>
              <w:rPr>
                <w:color w:val="000000"/>
                <w:sz w:val="20"/>
                <w:szCs w:val="20"/>
                <w:lang w:eastAsia="en-AU"/>
              </w:rPr>
            </w:pPr>
            <w:r w:rsidRPr="00ED454F">
              <w:rPr>
                <w:color w:val="000000" w:themeColor="text1"/>
                <w:sz w:val="20"/>
                <w:szCs w:val="20"/>
                <w:lang w:eastAsia="en-AU"/>
              </w:rPr>
              <w:t xml:space="preserve">There was a significant increase in students’ confidence in overall culinary skill level, knowledge of ingredients, knowledge of cooking techniques, and ability to use kitchen supplies (P=0·002, 0·002, 0·0004, and 0·003, respectively). </w:t>
            </w:r>
          </w:p>
        </w:tc>
      </w:tr>
      <w:tr w:rsidR="00BB09D8" w:rsidRPr="00ED454F" w14:paraId="2D72DB2B" w14:textId="77777777" w:rsidTr="003C06EC">
        <w:trPr>
          <w:trHeight w:val="2505"/>
        </w:trPr>
        <w:tc>
          <w:tcPr>
            <w:tcW w:w="1369" w:type="dxa"/>
            <w:shd w:val="clear" w:color="auto" w:fill="auto"/>
            <w:hideMark/>
          </w:tcPr>
          <w:p w14:paraId="4F6CA670" w14:textId="77777777" w:rsidR="00BB09D8" w:rsidRPr="00ED454F" w:rsidRDefault="00BB09D8" w:rsidP="003C06EC">
            <w:pPr>
              <w:rPr>
                <w:color w:val="000000"/>
                <w:sz w:val="20"/>
                <w:szCs w:val="20"/>
                <w:lang w:eastAsia="en-AU"/>
              </w:rPr>
            </w:pPr>
            <w:proofErr w:type="spellStart"/>
            <w:r w:rsidRPr="00ED454F">
              <w:rPr>
                <w:color w:val="000000"/>
                <w:sz w:val="20"/>
                <w:szCs w:val="20"/>
                <w:lang w:eastAsia="en-AU"/>
              </w:rPr>
              <w:t>Monlezun</w:t>
            </w:r>
            <w:proofErr w:type="spellEnd"/>
            <w:r w:rsidRPr="00ED454F">
              <w:rPr>
                <w:color w:val="000000"/>
                <w:sz w:val="20"/>
                <w:szCs w:val="20"/>
                <w:lang w:eastAsia="en-AU"/>
              </w:rPr>
              <w:t xml:space="preserve"> et al (2018)</w:t>
            </w:r>
          </w:p>
        </w:tc>
        <w:tc>
          <w:tcPr>
            <w:tcW w:w="4358" w:type="dxa"/>
            <w:shd w:val="clear" w:color="auto" w:fill="auto"/>
            <w:hideMark/>
          </w:tcPr>
          <w:p w14:paraId="1639F3C0" w14:textId="77777777" w:rsidR="00BB09D8" w:rsidRPr="00ED454F" w:rsidRDefault="00BB09D8" w:rsidP="003C06EC">
            <w:pPr>
              <w:rPr>
                <w:sz w:val="20"/>
                <w:szCs w:val="20"/>
              </w:rPr>
            </w:pPr>
            <w:r w:rsidRPr="00ED454F">
              <w:rPr>
                <w:b/>
                <w:sz w:val="20"/>
                <w:szCs w:val="20"/>
              </w:rPr>
              <w:t>Qualitative</w:t>
            </w:r>
            <w:r w:rsidRPr="00ED454F">
              <w:rPr>
                <w:sz w:val="20"/>
                <w:szCs w:val="20"/>
              </w:rPr>
              <w:t xml:space="preserve">: Propensity score-adjusted multilevel mixed effects multivariable regression showing medical students' improved competencies across 25 topics: All results are reported as fully adjusted Odds-Ratios. Analysed using two-tailed </w:t>
            </w:r>
            <w:r w:rsidRPr="00ED454F">
              <w:rPr>
                <w:i/>
                <w:iCs/>
                <w:sz w:val="20"/>
                <w:szCs w:val="20"/>
              </w:rPr>
              <w:t>P</w:t>
            </w:r>
            <w:r w:rsidRPr="00ED454F">
              <w:rPr>
                <w:sz w:val="20"/>
                <w:szCs w:val="20"/>
              </w:rPr>
              <w:t xml:space="preserve"> value.</w:t>
            </w:r>
          </w:p>
        </w:tc>
        <w:tc>
          <w:tcPr>
            <w:tcW w:w="4245" w:type="dxa"/>
            <w:shd w:val="clear" w:color="auto" w:fill="auto"/>
          </w:tcPr>
          <w:p w14:paraId="4848D727" w14:textId="77777777" w:rsidR="00BB09D8" w:rsidRPr="00ED454F" w:rsidRDefault="00BB09D8" w:rsidP="003C06EC">
            <w:pPr>
              <w:rPr>
                <w:color w:val="000000"/>
                <w:sz w:val="20"/>
                <w:szCs w:val="20"/>
                <w:lang w:eastAsia="en-AU"/>
              </w:rPr>
            </w:pPr>
            <w:r w:rsidRPr="00ED454F">
              <w:rPr>
                <w:color w:val="000000" w:themeColor="text1"/>
                <w:sz w:val="20"/>
                <w:szCs w:val="20"/>
                <w:lang w:eastAsia="en-AU"/>
              </w:rPr>
              <w:t>Report of multi-site CHOP trial shows highest power study on culinary medicine program efficacy currently, with 4026 completed surveys across more than 45 medical schools indicating good generalisability. Significant improvements were seen for participants in all aspects of nutritional counseling competency and attitudes towards positive impact of nutritional counseling in clinical practice.</w:t>
            </w:r>
          </w:p>
        </w:tc>
      </w:tr>
      <w:tr w:rsidR="00BB09D8" w:rsidRPr="00ED454F" w14:paraId="21887C13" w14:textId="77777777" w:rsidTr="003C06EC">
        <w:trPr>
          <w:trHeight w:val="864"/>
        </w:trPr>
        <w:tc>
          <w:tcPr>
            <w:tcW w:w="1369" w:type="dxa"/>
            <w:shd w:val="clear" w:color="auto" w:fill="auto"/>
            <w:hideMark/>
          </w:tcPr>
          <w:p w14:paraId="2A4EDEF5" w14:textId="77777777" w:rsidR="00BB09D8" w:rsidRPr="00ED454F" w:rsidRDefault="00BB09D8" w:rsidP="003C06EC">
            <w:pPr>
              <w:rPr>
                <w:color w:val="000000"/>
                <w:sz w:val="20"/>
                <w:szCs w:val="20"/>
                <w:lang w:eastAsia="en-AU"/>
              </w:rPr>
            </w:pPr>
            <w:r w:rsidRPr="00ED454F">
              <w:rPr>
                <w:color w:val="000000"/>
                <w:sz w:val="20"/>
                <w:szCs w:val="20"/>
                <w:lang w:eastAsia="en-AU"/>
              </w:rPr>
              <w:t>Hauser et al (2019)</w:t>
            </w:r>
          </w:p>
        </w:tc>
        <w:tc>
          <w:tcPr>
            <w:tcW w:w="4358" w:type="dxa"/>
            <w:shd w:val="clear" w:color="auto" w:fill="auto"/>
            <w:hideMark/>
          </w:tcPr>
          <w:p w14:paraId="2ECC2AC8" w14:textId="77777777" w:rsidR="00BB09D8" w:rsidRPr="00ED454F" w:rsidRDefault="00BB09D8" w:rsidP="003C06EC">
            <w:pPr>
              <w:rPr>
                <w:sz w:val="20"/>
                <w:szCs w:val="20"/>
              </w:rPr>
            </w:pPr>
            <w:r w:rsidRPr="00ED454F">
              <w:rPr>
                <w:b/>
                <w:sz w:val="20"/>
                <w:szCs w:val="20"/>
              </w:rPr>
              <w:t>Qualitative</w:t>
            </w:r>
            <w:r w:rsidRPr="00ED454F">
              <w:rPr>
                <w:sz w:val="20"/>
                <w:szCs w:val="20"/>
              </w:rPr>
              <w:t xml:space="preserve">: Pre- and post-course surveys evaluating attitudes, </w:t>
            </w:r>
            <w:proofErr w:type="gramStart"/>
            <w:r w:rsidRPr="00ED454F">
              <w:rPr>
                <w:sz w:val="20"/>
                <w:szCs w:val="20"/>
              </w:rPr>
              <w:t>knowledge</w:t>
            </w:r>
            <w:proofErr w:type="gramEnd"/>
            <w:r w:rsidRPr="00ED454F">
              <w:rPr>
                <w:sz w:val="20"/>
                <w:szCs w:val="20"/>
              </w:rPr>
              <w:t xml:space="preserve"> and behaviours about healthy cooking, eating, motivational interviewing of patients focusing on making dietary behaviour changes, and general course feedback. Data and analysis not reported.</w:t>
            </w:r>
          </w:p>
        </w:tc>
        <w:tc>
          <w:tcPr>
            <w:tcW w:w="4245" w:type="dxa"/>
            <w:shd w:val="clear" w:color="auto" w:fill="auto"/>
          </w:tcPr>
          <w:p w14:paraId="699202F6" w14:textId="77777777" w:rsidR="00BB09D8" w:rsidRPr="00ED454F" w:rsidRDefault="00BB09D8" w:rsidP="003C06EC">
            <w:pPr>
              <w:rPr>
                <w:color w:val="000000"/>
                <w:sz w:val="20"/>
                <w:szCs w:val="20"/>
                <w:lang w:eastAsia="en-AU"/>
              </w:rPr>
            </w:pPr>
            <w:r w:rsidRPr="00ED454F">
              <w:rPr>
                <w:color w:val="000000"/>
                <w:sz w:val="20"/>
                <w:szCs w:val="20"/>
                <w:lang w:eastAsia="en-AU"/>
              </w:rPr>
              <w:t>Survey data and analysis were not presented in article. Authors suggest that preliminary findings indicate practical instruction of nutritional education is superior to traditional methods for teaching nutritional counselling.</w:t>
            </w:r>
          </w:p>
        </w:tc>
      </w:tr>
      <w:tr w:rsidR="00BB09D8" w:rsidRPr="00ED454F" w14:paraId="607F0A78" w14:textId="77777777" w:rsidTr="003C06EC">
        <w:trPr>
          <w:trHeight w:val="864"/>
        </w:trPr>
        <w:tc>
          <w:tcPr>
            <w:tcW w:w="1369" w:type="dxa"/>
            <w:shd w:val="clear" w:color="auto" w:fill="auto"/>
            <w:hideMark/>
          </w:tcPr>
          <w:p w14:paraId="0C0C9D2D" w14:textId="77777777" w:rsidR="00BB09D8" w:rsidRPr="00ED454F" w:rsidRDefault="00BB09D8" w:rsidP="003C06EC">
            <w:pPr>
              <w:rPr>
                <w:color w:val="000000"/>
                <w:sz w:val="20"/>
                <w:szCs w:val="20"/>
                <w:lang w:eastAsia="en-AU"/>
              </w:rPr>
            </w:pPr>
            <w:r w:rsidRPr="00ED454F">
              <w:rPr>
                <w:color w:val="000000"/>
                <w:sz w:val="20"/>
                <w:szCs w:val="20"/>
                <w:lang w:eastAsia="en-AU"/>
              </w:rPr>
              <w:t>Lawrence et al (2019)</w:t>
            </w:r>
          </w:p>
        </w:tc>
        <w:tc>
          <w:tcPr>
            <w:tcW w:w="4358" w:type="dxa"/>
            <w:shd w:val="clear" w:color="auto" w:fill="auto"/>
            <w:hideMark/>
          </w:tcPr>
          <w:p w14:paraId="5AF68AA2" w14:textId="77777777" w:rsidR="00BB09D8" w:rsidRPr="00ED454F" w:rsidRDefault="00BB09D8" w:rsidP="003C06EC">
            <w:pPr>
              <w:rPr>
                <w:sz w:val="20"/>
                <w:szCs w:val="20"/>
              </w:rPr>
            </w:pPr>
            <w:r w:rsidRPr="00ED454F">
              <w:rPr>
                <w:b/>
                <w:sz w:val="20"/>
                <w:szCs w:val="20"/>
              </w:rPr>
              <w:t>Quantitative</w:t>
            </w:r>
            <w:r w:rsidRPr="00ED454F">
              <w:rPr>
                <w:sz w:val="20"/>
                <w:szCs w:val="20"/>
              </w:rPr>
              <w:t>: Pre- and post-course surveys including team performance scale (</w:t>
            </w:r>
            <w:proofErr w:type="gramStart"/>
            <w:r w:rsidRPr="00ED454F">
              <w:rPr>
                <w:sz w:val="20"/>
                <w:szCs w:val="20"/>
              </w:rPr>
              <w:t>TPS)  (</w:t>
            </w:r>
            <w:proofErr w:type="gramEnd"/>
            <w:r w:rsidRPr="00ED454F">
              <w:rPr>
                <w:sz w:val="20"/>
                <w:szCs w:val="20"/>
              </w:rPr>
              <w:t xml:space="preserve">evaluating quality of team interactions) and 6-point Likert scale to rate frequency of participants engagement </w:t>
            </w:r>
            <w:r w:rsidRPr="00ED454F" w:rsidDel="00E61062">
              <w:rPr>
                <w:sz w:val="20"/>
                <w:szCs w:val="20"/>
              </w:rPr>
              <w:t>in</w:t>
            </w:r>
            <w:r w:rsidRPr="00ED454F">
              <w:rPr>
                <w:sz w:val="20"/>
                <w:szCs w:val="20"/>
              </w:rPr>
              <w:t xml:space="preserve"> each team-building process. Analysed using paired t test.</w:t>
            </w:r>
          </w:p>
        </w:tc>
        <w:tc>
          <w:tcPr>
            <w:tcW w:w="4245" w:type="dxa"/>
            <w:shd w:val="clear" w:color="auto" w:fill="auto"/>
          </w:tcPr>
          <w:p w14:paraId="3F314709" w14:textId="77777777" w:rsidR="00BB09D8" w:rsidRPr="00ED454F" w:rsidRDefault="00BB09D8" w:rsidP="003C06EC">
            <w:pPr>
              <w:rPr>
                <w:color w:val="000000"/>
                <w:sz w:val="20"/>
                <w:szCs w:val="20"/>
                <w:lang w:eastAsia="en-AU"/>
              </w:rPr>
            </w:pPr>
            <w:r w:rsidRPr="00ED454F">
              <w:rPr>
                <w:color w:val="000000" w:themeColor="text1"/>
                <w:sz w:val="20"/>
                <w:szCs w:val="20"/>
                <w:lang w:eastAsia="en-AU"/>
              </w:rPr>
              <w:t>Despite high pre-course TPS scores, post-course TPS scores for the entire group, medical students and residents, and nutrition students were significantly higher</w:t>
            </w:r>
            <w:r w:rsidRPr="00ED454F" w:rsidDel="00E61062">
              <w:rPr>
                <w:color w:val="000000" w:themeColor="text1"/>
                <w:sz w:val="20"/>
                <w:szCs w:val="20"/>
                <w:lang w:eastAsia="en-AU"/>
              </w:rPr>
              <w:t xml:space="preserve"> </w:t>
            </w:r>
            <w:r w:rsidRPr="00ED454F">
              <w:rPr>
                <w:color w:val="000000" w:themeColor="text1"/>
                <w:sz w:val="20"/>
                <w:szCs w:val="20"/>
                <w:lang w:eastAsia="en-AU"/>
              </w:rPr>
              <w:t>(t=-4·79, P&lt;0·001; t=-4·15, P=0·001; and t=-2·71, P=0·02, respectively).</w:t>
            </w:r>
          </w:p>
        </w:tc>
      </w:tr>
      <w:tr w:rsidR="00BB09D8" w:rsidRPr="00ED454F" w14:paraId="3769D771" w14:textId="77777777" w:rsidTr="003C06EC">
        <w:trPr>
          <w:trHeight w:val="864"/>
        </w:trPr>
        <w:tc>
          <w:tcPr>
            <w:tcW w:w="1369" w:type="dxa"/>
            <w:shd w:val="clear" w:color="auto" w:fill="auto"/>
            <w:hideMark/>
          </w:tcPr>
          <w:p w14:paraId="04C19482" w14:textId="77777777" w:rsidR="00BB09D8" w:rsidRPr="00ED454F" w:rsidRDefault="00BB09D8" w:rsidP="003C06EC">
            <w:pPr>
              <w:rPr>
                <w:color w:val="000000"/>
                <w:sz w:val="20"/>
                <w:szCs w:val="20"/>
                <w:lang w:eastAsia="en-AU"/>
              </w:rPr>
            </w:pPr>
            <w:r w:rsidRPr="00ED454F">
              <w:rPr>
                <w:color w:val="000000"/>
                <w:sz w:val="20"/>
                <w:szCs w:val="20"/>
                <w:lang w:eastAsia="en-AU"/>
              </w:rPr>
              <w:t>Pang et al (2019)</w:t>
            </w:r>
          </w:p>
        </w:tc>
        <w:tc>
          <w:tcPr>
            <w:tcW w:w="4358" w:type="dxa"/>
            <w:shd w:val="clear" w:color="auto" w:fill="auto"/>
            <w:hideMark/>
          </w:tcPr>
          <w:p w14:paraId="116AFCD2" w14:textId="77777777" w:rsidR="00BB09D8" w:rsidRPr="00ED454F" w:rsidRDefault="00BB09D8" w:rsidP="003C06EC">
            <w:pPr>
              <w:rPr>
                <w:color w:val="000000"/>
                <w:sz w:val="20"/>
                <w:szCs w:val="20"/>
                <w:lang w:eastAsia="en-AU"/>
              </w:rPr>
            </w:pPr>
            <w:r w:rsidRPr="00ED454F">
              <w:rPr>
                <w:b/>
                <w:sz w:val="20"/>
                <w:szCs w:val="20"/>
              </w:rPr>
              <w:t>Qualitative</w:t>
            </w:r>
            <w:r w:rsidRPr="00ED454F">
              <w:rPr>
                <w:sz w:val="20"/>
                <w:szCs w:val="20"/>
              </w:rPr>
              <w:t>: Pre- and post- survey assessing students' knowledge in nutrition,</w:t>
            </w:r>
            <w:r w:rsidRPr="00ED454F" w:rsidDel="007411D7">
              <w:rPr>
                <w:sz w:val="20"/>
                <w:szCs w:val="20"/>
              </w:rPr>
              <w:t xml:space="preserve"> </w:t>
            </w:r>
            <w:r w:rsidRPr="00ED454F">
              <w:rPr>
                <w:sz w:val="20"/>
                <w:szCs w:val="20"/>
              </w:rPr>
              <w:t>ability to identify various foods by visual inspection, and confidence in cooking and nutritional counselling. Additionally, students provided course feedback on ways to improve the course and rated</w:t>
            </w:r>
            <w:r w:rsidRPr="00ED454F" w:rsidDel="007411D7">
              <w:rPr>
                <w:sz w:val="20"/>
                <w:szCs w:val="20"/>
              </w:rPr>
              <w:t xml:space="preserve"> </w:t>
            </w:r>
            <w:r w:rsidRPr="00ED454F">
              <w:rPr>
                <w:sz w:val="20"/>
                <w:szCs w:val="20"/>
              </w:rPr>
              <w:t>overall satisfaction with the class. Wilcoxon Signed Rank test used to analyse survey results.</w:t>
            </w:r>
          </w:p>
        </w:tc>
        <w:tc>
          <w:tcPr>
            <w:tcW w:w="4245" w:type="dxa"/>
            <w:shd w:val="clear" w:color="auto" w:fill="auto"/>
          </w:tcPr>
          <w:p w14:paraId="5071C39A" w14:textId="77777777" w:rsidR="00BB09D8" w:rsidRPr="00ED454F" w:rsidRDefault="00BB09D8" w:rsidP="003C06EC">
            <w:pPr>
              <w:rPr>
                <w:color w:val="000000"/>
                <w:sz w:val="20"/>
                <w:szCs w:val="20"/>
                <w:lang w:eastAsia="en-AU"/>
              </w:rPr>
            </w:pPr>
            <w:r w:rsidRPr="00ED454F">
              <w:rPr>
                <w:sz w:val="20"/>
                <w:szCs w:val="20"/>
              </w:rPr>
              <w:t>Among the three cohorts, all students self-perceived nutrition knowledge and confidence scores increased significantly. Students self-perceived food identification scores increased significantly in 2017 and 2018 only.</w:t>
            </w:r>
            <w:r w:rsidRPr="00ED454F">
              <w:rPr>
                <w:color w:val="000000" w:themeColor="text1"/>
                <w:sz w:val="20"/>
                <w:szCs w:val="20"/>
                <w:lang w:eastAsia="en-AU"/>
              </w:rPr>
              <w:t xml:space="preserve"> Students rated overall course satisfaction at 4·87/5, 5/5 and 5/5 for 2016, 2017 and 2018 intakes, respectively.</w:t>
            </w:r>
          </w:p>
        </w:tc>
      </w:tr>
      <w:tr w:rsidR="00BB09D8" w:rsidRPr="00ED454F" w14:paraId="686F8671" w14:textId="77777777" w:rsidTr="003C06EC">
        <w:trPr>
          <w:trHeight w:val="864"/>
        </w:trPr>
        <w:tc>
          <w:tcPr>
            <w:tcW w:w="1369" w:type="dxa"/>
            <w:shd w:val="clear" w:color="auto" w:fill="auto"/>
            <w:hideMark/>
          </w:tcPr>
          <w:p w14:paraId="727AE47D" w14:textId="77777777" w:rsidR="00BB09D8" w:rsidRPr="00ED454F" w:rsidRDefault="00BB09D8" w:rsidP="003C06EC">
            <w:pPr>
              <w:rPr>
                <w:color w:val="000000"/>
                <w:sz w:val="20"/>
                <w:szCs w:val="20"/>
                <w:lang w:eastAsia="en-AU"/>
              </w:rPr>
            </w:pPr>
            <w:r w:rsidRPr="00ED454F">
              <w:rPr>
                <w:color w:val="000000"/>
                <w:sz w:val="20"/>
                <w:szCs w:val="20"/>
                <w:lang w:eastAsia="en-AU"/>
              </w:rPr>
              <w:t>Ring et al (2019)</w:t>
            </w:r>
          </w:p>
        </w:tc>
        <w:tc>
          <w:tcPr>
            <w:tcW w:w="4358" w:type="dxa"/>
            <w:shd w:val="clear" w:color="auto" w:fill="auto"/>
            <w:hideMark/>
          </w:tcPr>
          <w:p w14:paraId="6F9C7276" w14:textId="77777777" w:rsidR="00BB09D8" w:rsidRPr="00ED454F" w:rsidRDefault="00BB09D8" w:rsidP="003C06EC">
            <w:pPr>
              <w:rPr>
                <w:sz w:val="20"/>
                <w:szCs w:val="20"/>
              </w:rPr>
            </w:pPr>
            <w:r w:rsidRPr="00ED454F">
              <w:rPr>
                <w:b/>
                <w:sz w:val="20"/>
                <w:szCs w:val="20"/>
              </w:rPr>
              <w:t>Quantitative</w:t>
            </w:r>
            <w:r w:rsidRPr="00ED454F">
              <w:rPr>
                <w:sz w:val="20"/>
                <w:szCs w:val="20"/>
              </w:rPr>
              <w:t xml:space="preserve">: Pre- and post-course survey on self-perceived competency in nutritional counseling using Conner and colleagues, Perceived Competency in Obesity Counselling Scale (PCOC), attitudes toward nutrition in patient care using Nutrition in Patient Care Survey (NIPS), cooking confidence using "The Cooking with the Chef Evaluation Instrument" (Cohort 1), and Cooking and Food Skills Measure (Cohort 1), and personal dietary habits using </w:t>
            </w:r>
            <w:proofErr w:type="spellStart"/>
            <w:r w:rsidRPr="00ED454F">
              <w:rPr>
                <w:sz w:val="20"/>
                <w:szCs w:val="20"/>
              </w:rPr>
              <w:t>PrimeScreen</w:t>
            </w:r>
            <w:proofErr w:type="spellEnd"/>
            <w:r w:rsidRPr="00ED454F">
              <w:rPr>
                <w:sz w:val="20"/>
                <w:szCs w:val="20"/>
              </w:rPr>
              <w:t xml:space="preserve"> Dietary Screening Tool. Post-course only, survey on likelihood of course recommendation. Analysed using ANOVA and Bonferroni corrections, calculations of mean, standard deviation, </w:t>
            </w:r>
            <w:r w:rsidRPr="00ED454F">
              <w:rPr>
                <w:sz w:val="20"/>
                <w:szCs w:val="20"/>
              </w:rPr>
              <w:lastRenderedPageBreak/>
              <w:t>confidence interval and P-value of changes over time.</w:t>
            </w:r>
          </w:p>
          <w:p w14:paraId="5FE01E2A" w14:textId="77777777" w:rsidR="00BB09D8" w:rsidRPr="00ED454F" w:rsidRDefault="00BB09D8" w:rsidP="003C06EC">
            <w:pPr>
              <w:rPr>
                <w:sz w:val="20"/>
                <w:szCs w:val="20"/>
              </w:rPr>
            </w:pPr>
            <w:r w:rsidRPr="00ED454F">
              <w:rPr>
                <w:b/>
                <w:sz w:val="20"/>
                <w:szCs w:val="20"/>
              </w:rPr>
              <w:t>Qualitative</w:t>
            </w:r>
            <w:r w:rsidRPr="00ED454F">
              <w:rPr>
                <w:sz w:val="20"/>
                <w:szCs w:val="20"/>
              </w:rPr>
              <w:t>: Open ended questions with prompts.</w:t>
            </w:r>
          </w:p>
        </w:tc>
        <w:tc>
          <w:tcPr>
            <w:tcW w:w="4245" w:type="dxa"/>
            <w:shd w:val="clear" w:color="auto" w:fill="auto"/>
          </w:tcPr>
          <w:p w14:paraId="33F2107E" w14:textId="77777777" w:rsidR="00BB09D8" w:rsidRPr="00ED454F" w:rsidRDefault="00BB09D8" w:rsidP="003C06EC">
            <w:pPr>
              <w:rPr>
                <w:color w:val="000000"/>
                <w:sz w:val="20"/>
                <w:szCs w:val="20"/>
                <w:lang w:eastAsia="en-AU"/>
              </w:rPr>
            </w:pPr>
            <w:r w:rsidRPr="00ED454F">
              <w:rPr>
                <w:color w:val="000000" w:themeColor="text1"/>
                <w:sz w:val="20"/>
                <w:szCs w:val="20"/>
                <w:lang w:eastAsia="en-AU"/>
              </w:rPr>
              <w:lastRenderedPageBreak/>
              <w:t xml:space="preserve">Across two pilot cohorts, retention rates and attendance rates were more than 89% and 96% respectively, with mean recommendation scores of 6·25 and 6·67 out of 7, indicating good feasibility and acceptability. Notable methodologies include use of peer-reviewed competency scales for participants self-evaluations. Significant improvements in students’ counseling competencies in nutrition and obesity reported. No significant or mixed results reported for attitudes to nutrition counselling, culinary </w:t>
            </w:r>
            <w:proofErr w:type="gramStart"/>
            <w:r w:rsidRPr="00ED454F">
              <w:rPr>
                <w:color w:val="000000" w:themeColor="text1"/>
                <w:sz w:val="20"/>
                <w:szCs w:val="20"/>
                <w:lang w:eastAsia="en-AU"/>
              </w:rPr>
              <w:t>techniques</w:t>
            </w:r>
            <w:proofErr w:type="gramEnd"/>
            <w:r w:rsidRPr="00ED454F">
              <w:rPr>
                <w:color w:val="000000" w:themeColor="text1"/>
                <w:sz w:val="20"/>
                <w:szCs w:val="20"/>
                <w:lang w:eastAsia="en-AU"/>
              </w:rPr>
              <w:t xml:space="preserve"> and personal dietary habits.</w:t>
            </w:r>
          </w:p>
        </w:tc>
      </w:tr>
      <w:tr w:rsidR="00BB09D8" w:rsidRPr="00ED454F" w14:paraId="75576869" w14:textId="77777777" w:rsidTr="003C06EC">
        <w:trPr>
          <w:trHeight w:val="864"/>
        </w:trPr>
        <w:tc>
          <w:tcPr>
            <w:tcW w:w="1369" w:type="dxa"/>
            <w:shd w:val="clear" w:color="auto" w:fill="auto"/>
            <w:hideMark/>
          </w:tcPr>
          <w:p w14:paraId="198580A2" w14:textId="77777777" w:rsidR="00BB09D8" w:rsidRPr="00ED454F" w:rsidRDefault="00BB09D8" w:rsidP="003C06EC">
            <w:pPr>
              <w:rPr>
                <w:color w:val="000000"/>
                <w:sz w:val="20"/>
                <w:szCs w:val="20"/>
                <w:lang w:eastAsia="en-AU"/>
              </w:rPr>
            </w:pPr>
            <w:proofErr w:type="spellStart"/>
            <w:r w:rsidRPr="00ED454F">
              <w:rPr>
                <w:color w:val="000000"/>
                <w:sz w:val="20"/>
                <w:szCs w:val="20"/>
                <w:lang w:eastAsia="en-AU"/>
              </w:rPr>
              <w:t>Hennrikus</w:t>
            </w:r>
            <w:proofErr w:type="spellEnd"/>
            <w:r w:rsidRPr="00ED454F">
              <w:rPr>
                <w:color w:val="000000"/>
                <w:sz w:val="20"/>
                <w:szCs w:val="20"/>
                <w:lang w:eastAsia="en-AU"/>
              </w:rPr>
              <w:t xml:space="preserve"> et al (2020)</w:t>
            </w:r>
          </w:p>
        </w:tc>
        <w:tc>
          <w:tcPr>
            <w:tcW w:w="4358" w:type="dxa"/>
            <w:shd w:val="clear" w:color="auto" w:fill="auto"/>
            <w:hideMark/>
          </w:tcPr>
          <w:p w14:paraId="31A489B0" w14:textId="77777777" w:rsidR="00BB09D8" w:rsidRPr="00ED454F" w:rsidRDefault="00BB09D8" w:rsidP="003C06EC">
            <w:pPr>
              <w:rPr>
                <w:sz w:val="20"/>
                <w:szCs w:val="20"/>
              </w:rPr>
            </w:pPr>
            <w:r w:rsidRPr="00ED454F">
              <w:rPr>
                <w:b/>
                <w:sz w:val="20"/>
                <w:szCs w:val="20"/>
              </w:rPr>
              <w:t>Qualitative</w:t>
            </w:r>
            <w:r w:rsidRPr="00ED454F">
              <w:rPr>
                <w:sz w:val="20"/>
                <w:szCs w:val="20"/>
              </w:rPr>
              <w:t xml:space="preserve">: Post-course evaluation of strengths and weaknesses of individual classes and the course, using open-ended, free text, voluntary responses. Thematic analysis of qualitative data using grounded theory: data managed using </w:t>
            </w:r>
            <w:proofErr w:type="spellStart"/>
            <w:r w:rsidRPr="00ED454F">
              <w:rPr>
                <w:sz w:val="20"/>
                <w:szCs w:val="20"/>
              </w:rPr>
              <w:t>ATLAS.ti</w:t>
            </w:r>
            <w:proofErr w:type="spellEnd"/>
            <w:r w:rsidRPr="00ED454F">
              <w:rPr>
                <w:sz w:val="20"/>
                <w:szCs w:val="20"/>
              </w:rPr>
              <w:t xml:space="preserve"> 8.0 software.</w:t>
            </w:r>
          </w:p>
        </w:tc>
        <w:tc>
          <w:tcPr>
            <w:tcW w:w="4245" w:type="dxa"/>
            <w:shd w:val="clear" w:color="auto" w:fill="auto"/>
          </w:tcPr>
          <w:p w14:paraId="1042FFAE" w14:textId="77777777" w:rsidR="00BB09D8" w:rsidRPr="00ED454F" w:rsidRDefault="00BB09D8" w:rsidP="003C06EC">
            <w:pPr>
              <w:rPr>
                <w:color w:val="000000"/>
                <w:sz w:val="20"/>
                <w:szCs w:val="20"/>
                <w:lang w:eastAsia="en-AU"/>
              </w:rPr>
            </w:pPr>
            <w:r w:rsidRPr="00ED454F">
              <w:rPr>
                <w:color w:val="000000"/>
                <w:sz w:val="20"/>
                <w:szCs w:val="20"/>
                <w:lang w:eastAsia="en-AU"/>
              </w:rPr>
              <w:t>Qualitative results described three major themes: increased relevance of basic science to real life, increased empathy towards complying with dietary restrictions, and increased student group cohesiveness.</w:t>
            </w:r>
          </w:p>
        </w:tc>
      </w:tr>
      <w:tr w:rsidR="00BB09D8" w:rsidRPr="00ED454F" w14:paraId="23CF8401" w14:textId="77777777" w:rsidTr="003C06EC">
        <w:trPr>
          <w:trHeight w:val="864"/>
        </w:trPr>
        <w:tc>
          <w:tcPr>
            <w:tcW w:w="1369" w:type="dxa"/>
            <w:shd w:val="clear" w:color="auto" w:fill="auto"/>
            <w:hideMark/>
          </w:tcPr>
          <w:p w14:paraId="354D78CF" w14:textId="77777777" w:rsidR="00BB09D8" w:rsidRPr="00ED454F" w:rsidRDefault="00BB09D8" w:rsidP="003C06EC">
            <w:pPr>
              <w:rPr>
                <w:color w:val="000000"/>
                <w:sz w:val="20"/>
                <w:szCs w:val="20"/>
                <w:lang w:eastAsia="en-AU"/>
              </w:rPr>
            </w:pPr>
            <w:r w:rsidRPr="00ED454F">
              <w:rPr>
                <w:color w:val="000000"/>
                <w:sz w:val="20"/>
                <w:szCs w:val="20"/>
                <w:lang w:eastAsia="en-AU"/>
              </w:rPr>
              <w:t>Patnaik et al (2020)</w:t>
            </w:r>
          </w:p>
        </w:tc>
        <w:tc>
          <w:tcPr>
            <w:tcW w:w="4358" w:type="dxa"/>
            <w:shd w:val="clear" w:color="auto" w:fill="auto"/>
            <w:hideMark/>
          </w:tcPr>
          <w:p w14:paraId="78206FFE" w14:textId="77777777" w:rsidR="00BB09D8" w:rsidRPr="00ED454F" w:rsidRDefault="00BB09D8" w:rsidP="003C06EC">
            <w:pPr>
              <w:rPr>
                <w:sz w:val="20"/>
                <w:szCs w:val="20"/>
              </w:rPr>
            </w:pPr>
            <w:r w:rsidRPr="00ED454F">
              <w:rPr>
                <w:b/>
                <w:sz w:val="20"/>
                <w:szCs w:val="20"/>
              </w:rPr>
              <w:t>Quantitative</w:t>
            </w:r>
            <w:r w:rsidRPr="00ED454F">
              <w:rPr>
                <w:sz w:val="20"/>
                <w:szCs w:val="20"/>
              </w:rPr>
              <w:t xml:space="preserve">: Validated Likert scale-based, voluntary survey, assessing competency of medical students in 25 nutrition topics, their own dietary consumption habits (including food groups, </w:t>
            </w:r>
            <w:proofErr w:type="gramStart"/>
            <w:r w:rsidRPr="00ED454F">
              <w:rPr>
                <w:sz w:val="20"/>
                <w:szCs w:val="20"/>
              </w:rPr>
              <w:t>diets</w:t>
            </w:r>
            <w:proofErr w:type="gramEnd"/>
            <w:r w:rsidRPr="00ED454F">
              <w:rPr>
                <w:sz w:val="20"/>
                <w:szCs w:val="20"/>
              </w:rPr>
              <w:t xml:space="preserve"> and a validated Med-diet score), and beliefs regarding value of nutrition counseling. Analysed using propensity score–weighted logistic regression models with reported odds ratios and two-tailed p-values.</w:t>
            </w:r>
          </w:p>
        </w:tc>
        <w:tc>
          <w:tcPr>
            <w:tcW w:w="4245" w:type="dxa"/>
            <w:shd w:val="clear" w:color="auto" w:fill="auto"/>
          </w:tcPr>
          <w:p w14:paraId="0F755877" w14:textId="77777777" w:rsidR="00BB09D8" w:rsidRPr="00ED454F" w:rsidRDefault="00BB09D8" w:rsidP="003C06EC">
            <w:pPr>
              <w:rPr>
                <w:color w:val="000000"/>
                <w:sz w:val="20"/>
                <w:szCs w:val="20"/>
                <w:lang w:eastAsia="en-AU"/>
              </w:rPr>
            </w:pPr>
            <w:r w:rsidRPr="00ED454F">
              <w:rPr>
                <w:color w:val="000000" w:themeColor="text1"/>
                <w:sz w:val="20"/>
                <w:szCs w:val="20"/>
                <w:lang w:eastAsia="en-AU"/>
              </w:rPr>
              <w:t>Within the multi-site trial using CHOP, University of Texas Health Sciences Center students were significantly more likely to strongly agree nutrition assessment should be routine clinical practice and that providers can improve patients’ health with nutrition education but displayed non-significant results in 12 of the 25 nutrition competency topics.</w:t>
            </w:r>
          </w:p>
        </w:tc>
      </w:tr>
      <w:tr w:rsidR="00BB09D8" w:rsidRPr="00ED454F" w14:paraId="664D1992" w14:textId="77777777" w:rsidTr="003C06EC">
        <w:trPr>
          <w:trHeight w:val="864"/>
        </w:trPr>
        <w:tc>
          <w:tcPr>
            <w:tcW w:w="1369" w:type="dxa"/>
            <w:shd w:val="clear" w:color="auto" w:fill="auto"/>
            <w:hideMark/>
          </w:tcPr>
          <w:p w14:paraId="6B07EBBC" w14:textId="77777777" w:rsidR="00BB09D8" w:rsidRPr="00ED454F" w:rsidRDefault="00BB09D8" w:rsidP="003C06EC">
            <w:pPr>
              <w:rPr>
                <w:color w:val="000000"/>
                <w:sz w:val="20"/>
                <w:szCs w:val="20"/>
                <w:lang w:eastAsia="en-AU"/>
              </w:rPr>
            </w:pPr>
            <w:proofErr w:type="spellStart"/>
            <w:r w:rsidRPr="00ED454F">
              <w:rPr>
                <w:color w:val="000000"/>
                <w:sz w:val="20"/>
                <w:szCs w:val="20"/>
                <w:lang w:eastAsia="en-AU"/>
              </w:rPr>
              <w:t>Razavi</w:t>
            </w:r>
            <w:proofErr w:type="spellEnd"/>
            <w:r w:rsidRPr="00ED454F">
              <w:rPr>
                <w:color w:val="000000"/>
                <w:sz w:val="20"/>
                <w:szCs w:val="20"/>
                <w:lang w:eastAsia="en-AU"/>
              </w:rPr>
              <w:t xml:space="preserve"> et al (2020)</w:t>
            </w:r>
          </w:p>
        </w:tc>
        <w:tc>
          <w:tcPr>
            <w:tcW w:w="4358" w:type="dxa"/>
            <w:shd w:val="clear" w:color="auto" w:fill="auto"/>
            <w:hideMark/>
          </w:tcPr>
          <w:p w14:paraId="29EB6F2E" w14:textId="77777777" w:rsidR="00BB09D8" w:rsidRPr="00ED454F" w:rsidRDefault="00BB09D8" w:rsidP="003C06EC">
            <w:pPr>
              <w:rPr>
                <w:sz w:val="20"/>
                <w:szCs w:val="20"/>
              </w:rPr>
            </w:pPr>
            <w:r w:rsidRPr="00ED454F">
              <w:rPr>
                <w:b/>
                <w:sz w:val="20"/>
                <w:szCs w:val="20"/>
              </w:rPr>
              <w:t>Quantitative</w:t>
            </w:r>
            <w:r w:rsidRPr="00ED454F">
              <w:rPr>
                <w:sz w:val="20"/>
                <w:szCs w:val="20"/>
              </w:rPr>
              <w:t xml:space="preserve">: Validated Likert scale-based, voluntary survey assessing the competency of medical students in 25 nutrition topics, students' dietary consumption habits (including food groups, </w:t>
            </w:r>
            <w:proofErr w:type="gramStart"/>
            <w:r w:rsidRPr="00ED454F">
              <w:rPr>
                <w:sz w:val="20"/>
                <w:szCs w:val="20"/>
              </w:rPr>
              <w:t>diets</w:t>
            </w:r>
            <w:proofErr w:type="gramEnd"/>
            <w:r w:rsidRPr="00ED454F">
              <w:rPr>
                <w:sz w:val="20"/>
                <w:szCs w:val="20"/>
              </w:rPr>
              <w:t xml:space="preserve"> and a validated Med-diet score), and beliefs regarding the value of nutrition counselling. Analysed using propensity score–weighted logistic regression models with reported odds ratios and two-tailed p-values</w:t>
            </w:r>
          </w:p>
        </w:tc>
        <w:tc>
          <w:tcPr>
            <w:tcW w:w="4245" w:type="dxa"/>
            <w:shd w:val="clear" w:color="auto" w:fill="auto"/>
          </w:tcPr>
          <w:p w14:paraId="4814F022" w14:textId="77777777" w:rsidR="00BB09D8" w:rsidRPr="00ED454F" w:rsidRDefault="00BB09D8" w:rsidP="003C06EC">
            <w:pPr>
              <w:rPr>
                <w:color w:val="000000"/>
                <w:sz w:val="20"/>
                <w:szCs w:val="20"/>
                <w:lang w:eastAsia="en-AU"/>
              </w:rPr>
            </w:pPr>
            <w:r w:rsidRPr="00ED454F">
              <w:rPr>
                <w:color w:val="000000" w:themeColor="text1"/>
                <w:sz w:val="20"/>
                <w:szCs w:val="20"/>
                <w:lang w:eastAsia="en-AU"/>
              </w:rPr>
              <w:t>CHOP participants were at least twice as likely to adhere to Med-diet guidelines involving monounsaturated fats (P=0·009), fruit (P=0·019), vegetables (P&lt;0·001) and legumes (P&lt;0·001), and six times as likely to master Mediterranean diet principles competency.</w:t>
            </w:r>
          </w:p>
        </w:tc>
      </w:tr>
      <w:tr w:rsidR="00BB09D8" w:rsidRPr="00ED454F" w14:paraId="2A6E3045" w14:textId="77777777" w:rsidTr="003C06EC">
        <w:trPr>
          <w:trHeight w:val="864"/>
        </w:trPr>
        <w:tc>
          <w:tcPr>
            <w:tcW w:w="1369" w:type="dxa"/>
            <w:tcBorders>
              <w:bottom w:val="single" w:sz="4" w:space="0" w:color="auto"/>
            </w:tcBorders>
            <w:shd w:val="clear" w:color="auto" w:fill="auto"/>
            <w:hideMark/>
          </w:tcPr>
          <w:p w14:paraId="36DAF259" w14:textId="77777777" w:rsidR="00BB09D8" w:rsidRPr="00ED454F" w:rsidRDefault="00BB09D8" w:rsidP="003C06EC">
            <w:pPr>
              <w:rPr>
                <w:color w:val="000000"/>
                <w:sz w:val="20"/>
                <w:szCs w:val="20"/>
                <w:lang w:eastAsia="en-AU"/>
              </w:rPr>
            </w:pPr>
            <w:r w:rsidRPr="00ED454F">
              <w:rPr>
                <w:color w:val="000000"/>
                <w:sz w:val="20"/>
                <w:szCs w:val="20"/>
                <w:lang w:eastAsia="en-AU"/>
              </w:rPr>
              <w:t>Rothman et al (2020)</w:t>
            </w:r>
          </w:p>
        </w:tc>
        <w:tc>
          <w:tcPr>
            <w:tcW w:w="4358" w:type="dxa"/>
            <w:tcBorders>
              <w:bottom w:val="single" w:sz="4" w:space="0" w:color="auto"/>
            </w:tcBorders>
            <w:shd w:val="clear" w:color="auto" w:fill="auto"/>
            <w:hideMark/>
          </w:tcPr>
          <w:p w14:paraId="089000ED" w14:textId="77777777" w:rsidR="00BB09D8" w:rsidRPr="00ED454F" w:rsidRDefault="00BB09D8" w:rsidP="003C06EC">
            <w:pPr>
              <w:autoSpaceDE w:val="0"/>
              <w:autoSpaceDN w:val="0"/>
              <w:adjustRightInd w:val="0"/>
              <w:rPr>
                <w:color w:val="000000"/>
                <w:sz w:val="20"/>
                <w:szCs w:val="20"/>
                <w:lang w:eastAsia="en-AU"/>
              </w:rPr>
            </w:pPr>
            <w:r w:rsidRPr="00ED454F">
              <w:rPr>
                <w:b/>
                <w:sz w:val="20"/>
                <w:szCs w:val="20"/>
              </w:rPr>
              <w:t>Quantitative</w:t>
            </w:r>
            <w:r w:rsidRPr="00ED454F">
              <w:rPr>
                <w:sz w:val="20"/>
                <w:szCs w:val="20"/>
              </w:rPr>
              <w:t>: Pre- and post-course surveys</w:t>
            </w:r>
            <w:r w:rsidRPr="00ED454F" w:rsidDel="003E4E9B">
              <w:rPr>
                <w:sz w:val="20"/>
                <w:szCs w:val="20"/>
              </w:rPr>
              <w:t xml:space="preserve"> </w:t>
            </w:r>
            <w:r w:rsidRPr="00ED454F">
              <w:rPr>
                <w:sz w:val="20"/>
                <w:szCs w:val="20"/>
                <w:lang w:val="en-NZ"/>
              </w:rPr>
              <w:t xml:space="preserve">of students’ self-perceived nutrition knowledge, confidence in </w:t>
            </w:r>
            <w:proofErr w:type="spellStart"/>
            <w:r w:rsidRPr="00ED454F">
              <w:rPr>
                <w:sz w:val="20"/>
                <w:szCs w:val="20"/>
                <w:lang w:val="en-NZ"/>
              </w:rPr>
              <w:t>counseling</w:t>
            </w:r>
            <w:proofErr w:type="spellEnd"/>
            <w:r w:rsidRPr="00ED454F">
              <w:rPr>
                <w:sz w:val="20"/>
                <w:szCs w:val="20"/>
                <w:lang w:val="en-NZ"/>
              </w:rPr>
              <w:t xml:space="preserve"> patients in management of diet-associated disease, and personal dietary/food choices. </w:t>
            </w:r>
            <w:r w:rsidRPr="00ED454F">
              <w:rPr>
                <w:sz w:val="20"/>
                <w:szCs w:val="20"/>
              </w:rPr>
              <w:t xml:space="preserve">Analysed using calculations of means, standard </w:t>
            </w:r>
            <w:proofErr w:type="gramStart"/>
            <w:r w:rsidRPr="00ED454F">
              <w:rPr>
                <w:sz w:val="20"/>
                <w:szCs w:val="20"/>
              </w:rPr>
              <w:t>deviations</w:t>
            </w:r>
            <w:proofErr w:type="gramEnd"/>
            <w:r w:rsidRPr="00ED454F">
              <w:rPr>
                <w:sz w:val="20"/>
                <w:szCs w:val="20"/>
              </w:rPr>
              <w:t xml:space="preserve"> and two-tailed paired t-tests. </w:t>
            </w:r>
            <w:r w:rsidRPr="00ED454F">
              <w:rPr>
                <w:b/>
                <w:bCs/>
                <w:sz w:val="20"/>
                <w:szCs w:val="20"/>
              </w:rPr>
              <w:t>Qualitative</w:t>
            </w:r>
            <w:r w:rsidRPr="00ED454F">
              <w:rPr>
                <w:sz w:val="20"/>
                <w:szCs w:val="20"/>
              </w:rPr>
              <w:t>: Open-ended questions for feedback about the course.</w:t>
            </w:r>
            <w:r w:rsidRPr="00ED454F">
              <w:rPr>
                <w:color w:val="000000" w:themeColor="text1"/>
                <w:sz w:val="20"/>
                <w:szCs w:val="20"/>
                <w:lang w:eastAsia="en-AU"/>
              </w:rPr>
              <w:t xml:space="preserve"> </w:t>
            </w:r>
          </w:p>
        </w:tc>
        <w:tc>
          <w:tcPr>
            <w:tcW w:w="4245" w:type="dxa"/>
            <w:tcBorders>
              <w:bottom w:val="single" w:sz="4" w:space="0" w:color="auto"/>
            </w:tcBorders>
            <w:shd w:val="clear" w:color="auto" w:fill="auto"/>
          </w:tcPr>
          <w:p w14:paraId="1780273E" w14:textId="77777777" w:rsidR="00BB09D8" w:rsidRPr="00ED454F" w:rsidRDefault="00BB09D8" w:rsidP="003C06EC">
            <w:pPr>
              <w:rPr>
                <w:color w:val="000000"/>
                <w:sz w:val="20"/>
                <w:szCs w:val="20"/>
                <w:lang w:eastAsia="en-AU"/>
              </w:rPr>
            </w:pPr>
            <w:r w:rsidRPr="00ED454F">
              <w:rPr>
                <w:color w:val="000000" w:themeColor="text1"/>
                <w:sz w:val="20"/>
                <w:szCs w:val="20"/>
                <w:lang w:eastAsia="en-AU"/>
              </w:rPr>
              <w:t xml:space="preserve"> The culinary medicine course for final year students,</w:t>
            </w:r>
            <w:r w:rsidRPr="00ED454F" w:rsidDel="00C1598C">
              <w:rPr>
                <w:color w:val="000000" w:themeColor="text1"/>
                <w:sz w:val="20"/>
                <w:szCs w:val="20"/>
                <w:lang w:eastAsia="en-AU"/>
              </w:rPr>
              <w:t xml:space="preserve"> </w:t>
            </w:r>
            <w:r w:rsidRPr="00ED454F">
              <w:rPr>
                <w:color w:val="000000" w:themeColor="text1"/>
                <w:sz w:val="20"/>
                <w:szCs w:val="20"/>
                <w:lang w:eastAsia="en-AU"/>
              </w:rPr>
              <w:t>significantly improved competencies in all aspects of nutrition counselling.</w:t>
            </w:r>
            <w:r w:rsidRPr="00ED454F" w:rsidDel="00C1598C">
              <w:rPr>
                <w:color w:val="000000" w:themeColor="text1"/>
                <w:sz w:val="20"/>
                <w:szCs w:val="20"/>
                <w:lang w:eastAsia="en-AU"/>
              </w:rPr>
              <w:t xml:space="preserve"> </w:t>
            </w:r>
            <w:r w:rsidRPr="00ED454F">
              <w:rPr>
                <w:color w:val="000000" w:themeColor="text1"/>
                <w:sz w:val="20"/>
                <w:szCs w:val="20"/>
                <w:lang w:eastAsia="en-AU"/>
              </w:rPr>
              <w:t>No significant improvements found in self-perceived value of nutrition counseling and mixed results reported for personal dietary habits.</w:t>
            </w:r>
          </w:p>
        </w:tc>
      </w:tr>
      <w:tr w:rsidR="00BB09D8" w:rsidRPr="00ED454F" w14:paraId="5A45DD44" w14:textId="77777777" w:rsidTr="003C06EC">
        <w:trPr>
          <w:trHeight w:val="63"/>
        </w:trPr>
        <w:tc>
          <w:tcPr>
            <w:tcW w:w="9972" w:type="dxa"/>
            <w:gridSpan w:val="3"/>
            <w:tcBorders>
              <w:top w:val="single" w:sz="4" w:space="0" w:color="auto"/>
            </w:tcBorders>
            <w:shd w:val="clear" w:color="auto" w:fill="auto"/>
          </w:tcPr>
          <w:p w14:paraId="603E8A20" w14:textId="77777777" w:rsidR="00BB09D8" w:rsidRPr="00ED454F" w:rsidRDefault="00BB09D8" w:rsidP="003C06EC">
            <w:pPr>
              <w:jc w:val="both"/>
              <w:rPr>
                <w:b/>
                <w:bCs/>
                <w:color w:val="000000" w:themeColor="text1"/>
                <w:sz w:val="20"/>
                <w:szCs w:val="20"/>
                <w:lang w:eastAsia="en-AU"/>
              </w:rPr>
            </w:pPr>
            <w:r w:rsidRPr="00ED454F">
              <w:rPr>
                <w:color w:val="000000"/>
                <w:sz w:val="20"/>
                <w:szCs w:val="20"/>
                <w:lang w:eastAsia="en-AU"/>
              </w:rPr>
              <w:t xml:space="preserve">CHOP=Cooking Through Health Optimisation; </w:t>
            </w:r>
            <w:r w:rsidRPr="00ED454F">
              <w:rPr>
                <w:color w:val="000000" w:themeColor="text1"/>
                <w:sz w:val="20"/>
                <w:szCs w:val="20"/>
                <w:lang w:eastAsia="en-AU"/>
              </w:rPr>
              <w:t>OR=</w:t>
            </w:r>
            <w:r>
              <w:rPr>
                <w:color w:val="000000" w:themeColor="text1"/>
                <w:sz w:val="20"/>
                <w:szCs w:val="20"/>
                <w:lang w:eastAsia="en-AU"/>
              </w:rPr>
              <w:t>O</w:t>
            </w:r>
            <w:r w:rsidRPr="00ED454F">
              <w:rPr>
                <w:color w:val="000000" w:themeColor="text1"/>
                <w:sz w:val="20"/>
                <w:szCs w:val="20"/>
                <w:lang w:eastAsia="en-AU"/>
              </w:rPr>
              <w:t>dds ratio; CI=</w:t>
            </w:r>
            <w:r>
              <w:rPr>
                <w:color w:val="000000" w:themeColor="text1"/>
                <w:sz w:val="20"/>
                <w:szCs w:val="20"/>
                <w:lang w:eastAsia="en-AU"/>
              </w:rPr>
              <w:t>C</w:t>
            </w:r>
            <w:r w:rsidRPr="00ED454F">
              <w:rPr>
                <w:color w:val="000000" w:themeColor="text1"/>
                <w:sz w:val="20"/>
                <w:szCs w:val="20"/>
                <w:lang w:eastAsia="en-AU"/>
              </w:rPr>
              <w:t>onfidence interval; P=</w:t>
            </w:r>
            <w:r w:rsidRPr="00ED454F">
              <w:rPr>
                <w:i/>
                <w:iCs/>
                <w:color w:val="000000" w:themeColor="text1"/>
                <w:sz w:val="20"/>
                <w:szCs w:val="20"/>
                <w:lang w:eastAsia="en-AU"/>
              </w:rPr>
              <w:t>P</w:t>
            </w:r>
            <w:r w:rsidRPr="00ED454F">
              <w:rPr>
                <w:color w:val="000000" w:themeColor="text1"/>
                <w:sz w:val="20"/>
                <w:szCs w:val="20"/>
                <w:lang w:eastAsia="en-AU"/>
              </w:rPr>
              <w:t xml:space="preserve"> value; t=</w:t>
            </w:r>
            <w:r>
              <w:rPr>
                <w:color w:val="000000" w:themeColor="text1"/>
                <w:sz w:val="20"/>
                <w:szCs w:val="20"/>
                <w:lang w:eastAsia="en-AU"/>
              </w:rPr>
              <w:t>T</w:t>
            </w:r>
            <w:r w:rsidRPr="00ED454F">
              <w:rPr>
                <w:color w:val="000000" w:themeColor="text1"/>
                <w:sz w:val="20"/>
                <w:szCs w:val="20"/>
                <w:lang w:eastAsia="en-AU"/>
              </w:rPr>
              <w:t xml:space="preserve">-test value; </w:t>
            </w:r>
            <w:r w:rsidRPr="00ED454F">
              <w:rPr>
                <w:sz w:val="20"/>
                <w:szCs w:val="20"/>
              </w:rPr>
              <w:t>Med-diet=</w:t>
            </w:r>
            <w:r w:rsidRPr="00ED454F">
              <w:t xml:space="preserve"> </w:t>
            </w:r>
            <w:r w:rsidRPr="00ED454F">
              <w:rPr>
                <w:sz w:val="20"/>
                <w:szCs w:val="20"/>
              </w:rPr>
              <w:t>Mediterranean die</w:t>
            </w:r>
            <w:r>
              <w:rPr>
                <w:sz w:val="20"/>
                <w:szCs w:val="20"/>
              </w:rPr>
              <w:t>t</w:t>
            </w:r>
          </w:p>
        </w:tc>
      </w:tr>
    </w:tbl>
    <w:p w14:paraId="45466C45" w14:textId="7F3370FB" w:rsidR="00BB09D8" w:rsidRDefault="00BB09D8" w:rsidP="00BB09D8">
      <w:pPr>
        <w:spacing w:line="480" w:lineRule="auto"/>
        <w:jc w:val="both"/>
        <w:rPr>
          <w:b/>
          <w:sz w:val="20"/>
          <w:szCs w:val="20"/>
        </w:rPr>
      </w:pPr>
      <w:r w:rsidRPr="00ED454F">
        <w:rPr>
          <w:b/>
          <w:sz w:val="20"/>
          <w:szCs w:val="20"/>
        </w:rPr>
        <w:t xml:space="preserve"> </w:t>
      </w:r>
    </w:p>
    <w:p w14:paraId="73823C39" w14:textId="77777777" w:rsidR="00BB09D8" w:rsidRDefault="00BB09D8">
      <w:pPr>
        <w:rPr>
          <w:b/>
          <w:sz w:val="20"/>
          <w:szCs w:val="20"/>
        </w:rPr>
      </w:pPr>
      <w:r>
        <w:rPr>
          <w:b/>
          <w:sz w:val="20"/>
          <w:szCs w:val="20"/>
        </w:rPr>
        <w:br w:type="page"/>
      </w:r>
    </w:p>
    <w:p w14:paraId="39B4627E" w14:textId="3E735355" w:rsidR="00BB09D8" w:rsidRPr="00252FA7" w:rsidRDefault="00BB09D8" w:rsidP="00BB09D8">
      <w:pPr>
        <w:spacing w:line="480" w:lineRule="auto"/>
        <w:jc w:val="both"/>
        <w:rPr>
          <w:rFonts w:eastAsia="Arial"/>
          <w:b/>
          <w:sz w:val="20"/>
          <w:szCs w:val="20"/>
        </w:rPr>
      </w:pPr>
      <w:r>
        <w:rPr>
          <w:rFonts w:eastAsia="Arial"/>
          <w:b/>
          <w:sz w:val="20"/>
          <w:szCs w:val="20"/>
        </w:rPr>
        <w:lastRenderedPageBreak/>
        <w:t xml:space="preserve">Appendix 2 </w:t>
      </w:r>
      <w:r>
        <w:rPr>
          <w:rFonts w:eastAsia="Arial"/>
          <w:b/>
          <w:sz w:val="20"/>
          <w:szCs w:val="20"/>
        </w:rPr>
        <w:t>–</w:t>
      </w:r>
      <w:r>
        <w:rPr>
          <w:rFonts w:eastAsia="Arial"/>
          <w:b/>
          <w:sz w:val="20"/>
          <w:szCs w:val="20"/>
        </w:rPr>
        <w:t xml:space="preserve"> </w:t>
      </w:r>
      <w:r w:rsidRPr="00252FA7">
        <w:rPr>
          <w:rFonts w:eastAsia="Arial"/>
          <w:b/>
          <w:sz w:val="20"/>
          <w:szCs w:val="20"/>
        </w:rPr>
        <w:t>Search</w:t>
      </w:r>
      <w:r>
        <w:rPr>
          <w:rFonts w:eastAsia="Arial"/>
          <w:b/>
          <w:sz w:val="20"/>
          <w:szCs w:val="20"/>
        </w:rPr>
        <w:t xml:space="preserve"> strings</w:t>
      </w:r>
      <w:r w:rsidRPr="00252FA7">
        <w:rPr>
          <w:rFonts w:eastAsia="Arial"/>
          <w:b/>
          <w:sz w:val="20"/>
          <w:szCs w:val="20"/>
        </w:rPr>
        <w:t xml:space="preserve"> entered for individual databases</w:t>
      </w:r>
    </w:p>
    <w:p w14:paraId="583343EE" w14:textId="77777777" w:rsidR="00BB09D8" w:rsidRPr="00ED454F" w:rsidRDefault="00BB09D8" w:rsidP="00BB09D8">
      <w:pPr>
        <w:spacing w:line="480" w:lineRule="auto"/>
        <w:jc w:val="both"/>
        <w:rPr>
          <w:rFonts w:eastAsia="Arial"/>
          <w:b/>
          <w:sz w:val="20"/>
          <w:szCs w:val="20"/>
        </w:rPr>
      </w:pPr>
      <w:r w:rsidRPr="00ED454F">
        <w:rPr>
          <w:rFonts w:eastAsia="Arial"/>
          <w:b/>
          <w:sz w:val="20"/>
          <w:szCs w:val="20"/>
        </w:rPr>
        <w:t>SAGE:</w:t>
      </w:r>
    </w:p>
    <w:p w14:paraId="41C1D83A" w14:textId="77777777" w:rsidR="00BB09D8" w:rsidRPr="00ED454F" w:rsidRDefault="00BB09D8" w:rsidP="00BB09D8">
      <w:pPr>
        <w:spacing w:line="480" w:lineRule="auto"/>
        <w:jc w:val="both"/>
        <w:rPr>
          <w:rFonts w:eastAsia="Arial"/>
          <w:sz w:val="20"/>
          <w:szCs w:val="20"/>
        </w:rPr>
      </w:pPr>
      <w:r w:rsidRPr="00ED454F">
        <w:rPr>
          <w:rFonts w:eastAsia="Arial"/>
          <w:sz w:val="20"/>
          <w:szCs w:val="20"/>
        </w:rPr>
        <w:t>[[All "culinary medicine"] OR [All "nutritional medicine"] OR [All "culinary education"] OR [All "food as medicine"]] AND [All medical] AND [[All training] OR [All education] OR [All program]]</w:t>
      </w:r>
    </w:p>
    <w:p w14:paraId="44910FF2" w14:textId="77777777" w:rsidR="00BB09D8" w:rsidRPr="00ED454F" w:rsidRDefault="00BB09D8" w:rsidP="00BB09D8">
      <w:pPr>
        <w:spacing w:line="480" w:lineRule="auto"/>
        <w:jc w:val="both"/>
        <w:rPr>
          <w:rFonts w:eastAsia="Arial"/>
          <w:sz w:val="20"/>
          <w:szCs w:val="20"/>
        </w:rPr>
      </w:pPr>
      <w:r w:rsidRPr="00ED454F">
        <w:rPr>
          <w:rFonts w:eastAsia="Arial"/>
          <w:sz w:val="20"/>
          <w:szCs w:val="20"/>
        </w:rPr>
        <w:t xml:space="preserve"> </w:t>
      </w:r>
    </w:p>
    <w:p w14:paraId="0C1D9FD1" w14:textId="77777777" w:rsidR="00BB09D8" w:rsidRPr="00ED454F" w:rsidRDefault="00BB09D8" w:rsidP="00BB09D8">
      <w:pPr>
        <w:spacing w:line="480" w:lineRule="auto"/>
        <w:jc w:val="both"/>
        <w:rPr>
          <w:rFonts w:eastAsia="Arial"/>
          <w:b/>
          <w:sz w:val="20"/>
          <w:szCs w:val="20"/>
        </w:rPr>
      </w:pPr>
      <w:r w:rsidRPr="00ED454F">
        <w:rPr>
          <w:rFonts w:eastAsia="Arial"/>
          <w:b/>
          <w:sz w:val="20"/>
          <w:szCs w:val="20"/>
        </w:rPr>
        <w:t>Taylor and Francis:</w:t>
      </w:r>
    </w:p>
    <w:p w14:paraId="6788D3CA" w14:textId="77777777" w:rsidR="00BB09D8" w:rsidRPr="00ED454F" w:rsidRDefault="00BB09D8" w:rsidP="00BB09D8">
      <w:pPr>
        <w:spacing w:line="480" w:lineRule="auto"/>
        <w:jc w:val="both"/>
        <w:rPr>
          <w:rFonts w:eastAsia="Arial"/>
          <w:sz w:val="20"/>
          <w:szCs w:val="20"/>
        </w:rPr>
      </w:pPr>
      <w:r w:rsidRPr="00ED454F">
        <w:rPr>
          <w:rFonts w:eastAsia="Arial"/>
          <w:sz w:val="20"/>
          <w:szCs w:val="20"/>
        </w:rPr>
        <w:t>("Culinary Medicine" OR "Nutritional Medicine" OR "Culinary Education" OR "Food as medicine") AND (medical) AND (Student OR program OR education OR training)</w:t>
      </w:r>
    </w:p>
    <w:p w14:paraId="0731D570" w14:textId="77777777" w:rsidR="00BB09D8" w:rsidRPr="00ED454F" w:rsidRDefault="00BB09D8" w:rsidP="00BB09D8">
      <w:pPr>
        <w:spacing w:line="480" w:lineRule="auto"/>
        <w:jc w:val="both"/>
        <w:rPr>
          <w:rFonts w:eastAsia="Arial"/>
          <w:sz w:val="20"/>
          <w:szCs w:val="20"/>
        </w:rPr>
      </w:pPr>
      <w:r w:rsidRPr="00ED454F">
        <w:rPr>
          <w:rFonts w:eastAsia="Arial"/>
          <w:sz w:val="20"/>
          <w:szCs w:val="20"/>
        </w:rPr>
        <w:t xml:space="preserve"> </w:t>
      </w:r>
    </w:p>
    <w:p w14:paraId="1DD5D021" w14:textId="77777777" w:rsidR="00BB09D8" w:rsidRPr="00ED454F" w:rsidRDefault="00BB09D8" w:rsidP="00BB09D8">
      <w:pPr>
        <w:spacing w:line="480" w:lineRule="auto"/>
        <w:jc w:val="both"/>
        <w:rPr>
          <w:rFonts w:eastAsia="Arial"/>
          <w:b/>
          <w:sz w:val="20"/>
          <w:szCs w:val="20"/>
        </w:rPr>
      </w:pPr>
      <w:r w:rsidRPr="00ED454F">
        <w:rPr>
          <w:rFonts w:eastAsia="Arial"/>
          <w:b/>
          <w:sz w:val="20"/>
          <w:szCs w:val="20"/>
        </w:rPr>
        <w:t>Science Direct:</w:t>
      </w:r>
    </w:p>
    <w:p w14:paraId="2E9E3C6F" w14:textId="77777777" w:rsidR="00BB09D8" w:rsidRPr="00ED454F" w:rsidRDefault="00BB09D8" w:rsidP="00BB09D8">
      <w:pPr>
        <w:spacing w:line="480" w:lineRule="auto"/>
        <w:jc w:val="both"/>
        <w:rPr>
          <w:rFonts w:eastAsia="Arial"/>
          <w:sz w:val="20"/>
          <w:szCs w:val="20"/>
        </w:rPr>
      </w:pPr>
      <w:r w:rsidRPr="00ED454F">
        <w:rPr>
          <w:rFonts w:eastAsia="Arial"/>
          <w:sz w:val="20"/>
          <w:szCs w:val="20"/>
        </w:rPr>
        <w:t>("Culinary Medicine" OR "Nutritional Medicine" OR "Culinary Education" OR "Food as medicine") AND (medical) AND (Student OR program OR education OR training)</w:t>
      </w:r>
    </w:p>
    <w:p w14:paraId="07813BE1" w14:textId="77777777" w:rsidR="00BB09D8" w:rsidRPr="00ED454F" w:rsidRDefault="00BB09D8" w:rsidP="00BB09D8">
      <w:pPr>
        <w:spacing w:line="480" w:lineRule="auto"/>
        <w:jc w:val="both"/>
        <w:rPr>
          <w:rFonts w:eastAsia="Arial"/>
          <w:sz w:val="20"/>
          <w:szCs w:val="20"/>
        </w:rPr>
      </w:pPr>
      <w:r w:rsidRPr="00ED454F">
        <w:rPr>
          <w:rFonts w:eastAsia="Arial"/>
          <w:sz w:val="20"/>
          <w:szCs w:val="20"/>
        </w:rPr>
        <w:t xml:space="preserve"> </w:t>
      </w:r>
    </w:p>
    <w:p w14:paraId="03E2DA25" w14:textId="77777777" w:rsidR="00BB09D8" w:rsidRPr="00ED454F" w:rsidRDefault="00BB09D8" w:rsidP="00BB09D8">
      <w:pPr>
        <w:spacing w:line="480" w:lineRule="auto"/>
        <w:jc w:val="both"/>
        <w:rPr>
          <w:rFonts w:eastAsia="Arial"/>
          <w:b/>
          <w:sz w:val="20"/>
          <w:szCs w:val="20"/>
        </w:rPr>
      </w:pPr>
      <w:r w:rsidRPr="00ED454F">
        <w:rPr>
          <w:rFonts w:eastAsia="Arial"/>
          <w:b/>
          <w:sz w:val="20"/>
          <w:szCs w:val="20"/>
        </w:rPr>
        <w:t>MEDLINE:</w:t>
      </w:r>
    </w:p>
    <w:p w14:paraId="30D761C8" w14:textId="77777777" w:rsidR="00BB09D8" w:rsidRPr="00ED454F" w:rsidRDefault="00BB09D8" w:rsidP="00BB09D8">
      <w:pPr>
        <w:spacing w:line="480" w:lineRule="auto"/>
        <w:jc w:val="both"/>
        <w:rPr>
          <w:rFonts w:eastAsia="Arial"/>
          <w:sz w:val="20"/>
          <w:szCs w:val="20"/>
        </w:rPr>
      </w:pPr>
      <w:r w:rsidRPr="00ED454F">
        <w:rPr>
          <w:rFonts w:eastAsia="Arial"/>
          <w:sz w:val="20"/>
          <w:szCs w:val="20"/>
        </w:rPr>
        <w:t>("Culinary Medicine" OR "Nutritional Medicine" OR "Culinary Education" OR "Food as medicine") AND (medical) AND (Student OR program OR education OR training)</w:t>
      </w:r>
    </w:p>
    <w:p w14:paraId="51CF132A" w14:textId="77777777" w:rsidR="00BB09D8" w:rsidRPr="00ED454F" w:rsidRDefault="00BB09D8" w:rsidP="00BB09D8">
      <w:pPr>
        <w:spacing w:line="480" w:lineRule="auto"/>
        <w:jc w:val="both"/>
        <w:rPr>
          <w:rFonts w:eastAsia="Arial"/>
          <w:sz w:val="20"/>
          <w:szCs w:val="20"/>
        </w:rPr>
      </w:pPr>
      <w:r w:rsidRPr="00ED454F">
        <w:rPr>
          <w:rFonts w:eastAsia="Arial"/>
          <w:sz w:val="20"/>
          <w:szCs w:val="20"/>
        </w:rPr>
        <w:t xml:space="preserve"> </w:t>
      </w:r>
    </w:p>
    <w:p w14:paraId="101F267A" w14:textId="77777777" w:rsidR="00BB09D8" w:rsidRPr="00ED454F" w:rsidRDefault="00BB09D8" w:rsidP="00BB09D8">
      <w:pPr>
        <w:spacing w:line="480" w:lineRule="auto"/>
        <w:jc w:val="both"/>
        <w:rPr>
          <w:rFonts w:eastAsia="Arial"/>
          <w:b/>
          <w:sz w:val="20"/>
          <w:szCs w:val="20"/>
        </w:rPr>
      </w:pPr>
      <w:r w:rsidRPr="00ED454F">
        <w:rPr>
          <w:rFonts w:eastAsia="Arial"/>
          <w:b/>
          <w:sz w:val="20"/>
          <w:szCs w:val="20"/>
        </w:rPr>
        <w:t>Web of science:</w:t>
      </w:r>
    </w:p>
    <w:p w14:paraId="1613BF3C" w14:textId="77777777" w:rsidR="00BB09D8" w:rsidRPr="00ED454F" w:rsidRDefault="00BB09D8" w:rsidP="00BB09D8">
      <w:pPr>
        <w:spacing w:line="480" w:lineRule="auto"/>
        <w:jc w:val="both"/>
        <w:rPr>
          <w:rFonts w:eastAsia="Arial"/>
          <w:sz w:val="20"/>
          <w:szCs w:val="20"/>
        </w:rPr>
      </w:pPr>
      <w:r w:rsidRPr="00ED454F">
        <w:rPr>
          <w:rFonts w:eastAsia="Arial"/>
          <w:sz w:val="20"/>
          <w:szCs w:val="20"/>
        </w:rPr>
        <w:t>("Culinary Medicine" OR "Nutritional Medicine" OR "Culinary Education" OR "Food as medicine") AND (medical) AND (Student OR program OR education OR training)</w:t>
      </w:r>
    </w:p>
    <w:p w14:paraId="0E9C1B05" w14:textId="77777777" w:rsidR="00BB09D8" w:rsidRPr="00ED454F" w:rsidRDefault="00BB09D8" w:rsidP="00BB09D8">
      <w:pPr>
        <w:spacing w:line="480" w:lineRule="auto"/>
        <w:jc w:val="both"/>
        <w:rPr>
          <w:rFonts w:eastAsia="Arial"/>
          <w:sz w:val="20"/>
          <w:szCs w:val="20"/>
        </w:rPr>
      </w:pPr>
      <w:r w:rsidRPr="00ED454F">
        <w:rPr>
          <w:rFonts w:eastAsia="Arial"/>
          <w:sz w:val="20"/>
          <w:szCs w:val="20"/>
        </w:rPr>
        <w:t xml:space="preserve"> </w:t>
      </w:r>
    </w:p>
    <w:p w14:paraId="15C54777" w14:textId="77777777" w:rsidR="00BB09D8" w:rsidRPr="00ED454F" w:rsidRDefault="00BB09D8" w:rsidP="00BB09D8">
      <w:pPr>
        <w:spacing w:line="480" w:lineRule="auto"/>
        <w:jc w:val="both"/>
        <w:rPr>
          <w:rFonts w:eastAsia="Arial"/>
          <w:b/>
          <w:sz w:val="20"/>
          <w:szCs w:val="20"/>
        </w:rPr>
      </w:pPr>
      <w:r w:rsidRPr="00ED454F">
        <w:rPr>
          <w:rFonts w:eastAsia="Arial"/>
          <w:b/>
          <w:sz w:val="20"/>
          <w:szCs w:val="20"/>
        </w:rPr>
        <w:t>SCOPUS:</w:t>
      </w:r>
    </w:p>
    <w:p w14:paraId="4C535FFE" w14:textId="77777777" w:rsidR="00BB09D8" w:rsidRPr="00ED454F" w:rsidRDefault="00BB09D8" w:rsidP="00BB09D8">
      <w:pPr>
        <w:spacing w:line="480" w:lineRule="auto"/>
        <w:jc w:val="both"/>
        <w:rPr>
          <w:sz w:val="20"/>
          <w:szCs w:val="20"/>
        </w:rPr>
      </w:pPr>
      <w:r w:rsidRPr="00ED454F">
        <w:rPr>
          <w:rFonts w:eastAsia="Arial"/>
          <w:sz w:val="20"/>
          <w:szCs w:val="20"/>
        </w:rPr>
        <w:t>("Culinary Medicine" OR "Nutritional Medicine" OR "Culinary Education" OR "Food as medicine") AND (medical) AND (Student OR program OR education OR training)</w:t>
      </w:r>
    </w:p>
    <w:p w14:paraId="35968338" w14:textId="77777777" w:rsidR="00BB09D8" w:rsidRPr="00ED454F" w:rsidRDefault="00BB09D8" w:rsidP="00BB09D8">
      <w:pPr>
        <w:spacing w:before="240" w:line="480" w:lineRule="auto"/>
        <w:jc w:val="both"/>
        <w:rPr>
          <w:sz w:val="20"/>
          <w:szCs w:val="20"/>
        </w:rPr>
      </w:pPr>
    </w:p>
    <w:p w14:paraId="47AFBFC3" w14:textId="77777777" w:rsidR="00BB09D8" w:rsidRPr="00BB09D8" w:rsidRDefault="00BB09D8" w:rsidP="00BB09D8"/>
    <w:sectPr w:rsidR="00BB09D8" w:rsidRPr="00BB09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9D8"/>
    <w:rsid w:val="00BB09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409CFA4"/>
  <w15:chartTrackingRefBased/>
  <w15:docId w15:val="{74AC02AF-FD3C-AF49-B104-A7BD1816E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9D8"/>
    <w:rPr>
      <w:rFonts w:ascii="Times New Roman" w:eastAsia="Times New Roman" w:hAnsi="Times New Roman" w:cs="Times New Roman"/>
      <w:lang w:val="en-CA"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Tan</dc:creator>
  <cp:keywords/>
  <dc:description/>
  <cp:lastModifiedBy>Jacqueline Tan</cp:lastModifiedBy>
  <cp:revision>1</cp:revision>
  <dcterms:created xsi:type="dcterms:W3CDTF">2022-01-19T09:03:00Z</dcterms:created>
  <dcterms:modified xsi:type="dcterms:W3CDTF">2022-01-19T09:04:00Z</dcterms:modified>
</cp:coreProperties>
</file>