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DDC" w:rsidRPr="00333199" w:rsidRDefault="007C6DDC" w:rsidP="007C6DDC">
      <w:pPr>
        <w:spacing w:line="36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333199">
        <w:rPr>
          <w:rFonts w:asciiTheme="majorBidi" w:hAnsiTheme="majorBidi" w:cstheme="majorBidi"/>
          <w:b/>
          <w:bCs/>
          <w:sz w:val="20"/>
          <w:szCs w:val="20"/>
        </w:rPr>
        <w:t>Additional information</w:t>
      </w:r>
    </w:p>
    <w:p w:rsidR="007C6DDC" w:rsidRPr="00333199" w:rsidRDefault="007C6DDC" w:rsidP="007C6DDC">
      <w:pPr>
        <w:spacing w:line="360" w:lineRule="auto"/>
        <w:rPr>
          <w:rFonts w:asciiTheme="majorBidi" w:hAnsiTheme="majorBidi" w:cstheme="majorBidi"/>
          <w:sz w:val="20"/>
          <w:szCs w:val="20"/>
        </w:rPr>
      </w:pPr>
      <w:r w:rsidRPr="00333199">
        <w:rPr>
          <w:rFonts w:asciiTheme="majorBidi" w:hAnsiTheme="majorBidi" w:cstheme="majorBidi"/>
          <w:sz w:val="20"/>
          <w:szCs w:val="20"/>
        </w:rPr>
        <w:t>Publisher’s Note</w:t>
      </w:r>
    </w:p>
    <w:p w:rsidR="007C6DDC" w:rsidRPr="00333199" w:rsidRDefault="007C6DDC" w:rsidP="007C6DDC">
      <w:pPr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 w:rsidRPr="00333199">
        <w:rPr>
          <w:rFonts w:asciiTheme="majorBidi" w:hAnsiTheme="majorBidi" w:cstheme="majorBidi"/>
          <w:sz w:val="18"/>
          <w:szCs w:val="18"/>
        </w:rPr>
        <w:t>Springer Nature remains neutral with regard to jurisdictional claims in published maps and institutional affiliations.</w:t>
      </w:r>
    </w:p>
    <w:p w:rsidR="00C33B03" w:rsidRDefault="00C33B03">
      <w:bookmarkStart w:id="0" w:name="_GoBack"/>
      <w:bookmarkEnd w:id="0"/>
    </w:p>
    <w:sectPr w:rsidR="00C33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DC"/>
    <w:rsid w:val="007C6DDC"/>
    <w:rsid w:val="00C3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2028BB-AFD4-4C3B-9230-09023789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DD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>Springer Nature IT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2020-12-28T05:26:00Z</dcterms:created>
  <dcterms:modified xsi:type="dcterms:W3CDTF">2020-12-28T05:26:00Z</dcterms:modified>
</cp:coreProperties>
</file>