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sz w:val="11"/>
          <w:szCs w:val="11"/>
        </w:rPr>
      </w:pPr>
      <w:bookmarkStart w:id="0" w:name="_GoBack"/>
      <w:r>
        <w:rPr>
          <w:rFonts w:hint="eastAsia" w:ascii="Times New Roman" w:hAnsi="Times New Roman"/>
          <w:sz w:val="11"/>
          <w:szCs w:val="11"/>
          <w:lang w:val="en-US" w:eastAsia="zh-CN"/>
        </w:rPr>
        <w:t xml:space="preserve">Table1 </w:t>
      </w:r>
      <w:r>
        <w:rPr>
          <w:rFonts w:hint="eastAsia" w:ascii="Times New Roman" w:hAnsi="Times New Roman"/>
          <w:sz w:val="11"/>
          <w:szCs w:val="11"/>
        </w:rPr>
        <w:t>Characteristics of CN-AML patients by high and low CPT1B expression</w:t>
      </w:r>
    </w:p>
    <w:tbl>
      <w:tblPr>
        <w:tblStyle w:val="3"/>
        <w:tblW w:w="0" w:type="auto"/>
        <w:tblCellSpacing w:w="0" w:type="dxa"/>
        <w:tblInd w:w="0" w:type="dxa"/>
        <w:tblBorders>
          <w:top w:val="single" w:color="080000" w:sz="4" w:space="0"/>
          <w:left w:val="none" w:color="auto" w:sz="0" w:space="0"/>
          <w:bottom w:val="single" w:color="08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1"/>
        <w:gridCol w:w="1973"/>
        <w:gridCol w:w="2027"/>
        <w:gridCol w:w="2154"/>
      </w:tblGrid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13"/>
                <w:szCs w:val="13"/>
              </w:rPr>
              <w:t>Variables</w:t>
            </w:r>
          </w:p>
        </w:tc>
        <w:tc>
          <w:tcPr>
            <w:tcW w:w="400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13"/>
                <w:szCs w:val="13"/>
              </w:rPr>
              <w:t>CPT1B expression</w:t>
            </w:r>
          </w:p>
        </w:tc>
        <w:tc>
          <w:tcPr>
            <w:tcW w:w="2154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13"/>
                <w:szCs w:val="13"/>
              </w:rPr>
              <w:t>P-value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13"/>
                <w:szCs w:val="13"/>
              </w:rPr>
              <w:t>LOW(N=81)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13"/>
                <w:szCs w:val="13"/>
              </w:rPr>
              <w:t>High(N=244)</w:t>
            </w:r>
          </w:p>
        </w:tc>
        <w:tc>
          <w:tcPr>
            <w:tcW w:w="2154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CPT1B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0.67 (0.49,0.89)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3.92(2.37,7.28)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&lt;0.001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Male,n(%)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54 (67.5) 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136 (56.4) 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0.107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Age,median(IQR),years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50.00 (32.00, 62.00)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55.00 (41.50, 64.00)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0.045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BM blast, median(IQR),%</w:t>
            </w: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  <w:vertAlign w:val="superscript"/>
              </w:rPr>
              <w:t>1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61.00 (37.00, 78.75)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68.25(42.38,81.25)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0.245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WBC , median(IQR),ⅹ10</w:t>
            </w: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  <w:vertAlign w:val="superscript"/>
              </w:rPr>
              <w:t>9</w:t>
            </w: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/L</w:t>
            </w: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21.15 (3.775, 65.80)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9.75 (2.40, 39.75)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0.107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HB, median(IQR),g/L</w:t>
            </w: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  <w:vertAlign w:val="superscript"/>
              </w:rPr>
              <w:t>3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84.00(66.25,104.50)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86.00(68.00,103.00)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0.769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PLT,median(IQR),ⅹ10</w:t>
            </w: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  <w:vertAlign w:val="superscript"/>
              </w:rPr>
              <w:t>9</w:t>
            </w: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/L</w:t>
            </w: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  <w:vertAlign w:val="superscript"/>
              </w:rPr>
              <w:t>4</w:t>
            </w: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 xml:space="preserve"> 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40.50 (22.00, 74.00)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50.00 (27.00, 95.75)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0.053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FAB classification,n(%)</w:t>
            </w: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  <w:vertAlign w:val="superscript"/>
              </w:rPr>
              <w:t>5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0.438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0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 6 ( 7.4) 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24 ( 9.8) 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1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 7 ( 8.6) 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19 ( 7.8) 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2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42 (51.9) 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119 (48.8) 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3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 1 ( 1.2) 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 3 ( 1.2) 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4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 7 ( 8.6) 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 6 ( 2.5) 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5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17 (21.0) 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66 (27.0) 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6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 1 ( 1.2) 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 5 ( 2.0) 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  <w:tblCellSpacing w:w="0" w:type="dxa"/>
        </w:trPr>
        <w:tc>
          <w:tcPr>
            <w:tcW w:w="8415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Gene mutation(%)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13"/>
                <w:szCs w:val="13"/>
                <w:lang w:val="en-US" w:eastAsia="zh-CN"/>
              </w:rPr>
              <w:t>FLT3ITD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ind w:firstLine="130" w:firstLineChars="100"/>
              <w:rPr>
                <w:rFonts w:hint="default" w:ascii="Times New Roman" w:hAnsi="Times New Roman" w:eastAsia="黑体" w:cs="Times New Roman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13"/>
                <w:szCs w:val="13"/>
                <w:lang w:val="en-US" w:eastAsia="zh-CN"/>
              </w:rPr>
              <w:t>14（17.3）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13"/>
                <w:szCs w:val="13"/>
                <w:lang w:val="en-US" w:eastAsia="zh-CN"/>
              </w:rPr>
              <w:t xml:space="preserve">  46（18.9）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13"/>
                <w:szCs w:val="13"/>
                <w:lang w:val="en-US" w:eastAsia="zh-CN"/>
              </w:rPr>
              <w:t>0.373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CEBPA 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11 (14.5) 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29 (13.6) 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0.848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NPM1 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23 (28.7) 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59 (26.7) 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0.77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DNMT3a 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 9 (12.2) 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29 (14.1) 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0.843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IDH1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17 (23.6) 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44 (21.2) 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0.741</w:t>
            </w:r>
          </w:p>
        </w:tc>
      </w:tr>
      <w:tr>
        <w:tblPrEx>
          <w:tblBorders>
            <w:top w:val="single" w:color="080000" w:sz="4" w:space="0"/>
            <w:left w:val="none" w:color="auto" w:sz="0" w:space="0"/>
            <w:bottom w:val="single" w:color="08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</w:trPr>
        <w:tc>
          <w:tcPr>
            <w:tcW w:w="2261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IDH2 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 8 (11.6) 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    32 (16.2) 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3"/>
                <w:szCs w:val="13"/>
              </w:rPr>
              <w:t>0.436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sz w:val="13"/>
          <w:szCs w:val="15"/>
          <w:lang w:val="en-US" w:eastAsia="zh-CN"/>
        </w:rPr>
      </w:pPr>
      <w:r>
        <w:rPr>
          <w:rFonts w:hint="default" w:ascii="Times New Roman" w:hAnsi="Times New Roman" w:cs="Times New Roman"/>
          <w:sz w:val="13"/>
          <w:szCs w:val="15"/>
        </w:rPr>
        <w:t>Abbreviations:</w:t>
      </w:r>
      <w:r>
        <w:rPr>
          <w:rFonts w:hint="eastAsia" w:ascii="Times New Roman" w:hAnsi="Times New Roman" w:cs="Times New Roman"/>
          <w:sz w:val="13"/>
          <w:szCs w:val="15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sz w:val="13"/>
          <w:szCs w:val="15"/>
        </w:rPr>
        <w:t xml:space="preserve">BM, bone marrow; </w:t>
      </w:r>
      <w:r>
        <w:rPr>
          <w:rFonts w:hint="eastAsia" w:ascii="Times New Roman" w:hAnsi="Times New Roman" w:cs="Times New Roman"/>
          <w:sz w:val="13"/>
          <w:szCs w:val="15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sz w:val="13"/>
          <w:szCs w:val="15"/>
        </w:rPr>
        <w:t xml:space="preserve">WBC, white blood cell; </w:t>
      </w:r>
      <w:r>
        <w:rPr>
          <w:rFonts w:hint="eastAsia" w:ascii="Times New Roman" w:hAnsi="Times New Roman" w:cs="Times New Roman"/>
          <w:sz w:val="13"/>
          <w:szCs w:val="15"/>
          <w:vertAlign w:val="superscript"/>
          <w:lang w:val="en-US" w:eastAsia="zh-CN"/>
        </w:rPr>
        <w:t>3</w:t>
      </w:r>
      <w:r>
        <w:rPr>
          <w:rFonts w:hint="default" w:ascii="Times New Roman" w:hAnsi="Times New Roman" w:cs="Times New Roman"/>
          <w:sz w:val="13"/>
          <w:szCs w:val="15"/>
        </w:rPr>
        <w:t>HB, hemoglobin</w:t>
      </w:r>
      <w:r>
        <w:rPr>
          <w:rFonts w:hint="eastAsia" w:ascii="Times New Roman" w:hAnsi="Times New Roman" w:cs="Times New Roman"/>
          <w:sz w:val="13"/>
          <w:szCs w:val="15"/>
          <w:lang w:val="en-US" w:eastAsia="zh-CN"/>
        </w:rPr>
        <w:t>;</w:t>
      </w:r>
      <w:r>
        <w:rPr>
          <w:rFonts w:hint="default" w:ascii="Times New Roman" w:hAnsi="Times New Roman" w:cs="Times New Roman"/>
          <w:sz w:val="13"/>
          <w:szCs w:val="15"/>
        </w:rPr>
        <w:t xml:space="preserve"> </w:t>
      </w:r>
      <w:r>
        <w:rPr>
          <w:rFonts w:hint="eastAsia" w:ascii="Times New Roman" w:hAnsi="Times New Roman" w:cs="Times New Roman"/>
          <w:sz w:val="13"/>
          <w:szCs w:val="15"/>
          <w:vertAlign w:val="superscript"/>
          <w:lang w:val="en-US" w:eastAsia="zh-CN"/>
        </w:rPr>
        <w:t>4</w:t>
      </w:r>
      <w:r>
        <w:rPr>
          <w:rFonts w:hint="default" w:ascii="Times New Roman" w:hAnsi="Times New Roman" w:cs="Times New Roman"/>
          <w:sz w:val="13"/>
          <w:szCs w:val="15"/>
        </w:rPr>
        <w:t>PLT, platelet counts;</w:t>
      </w:r>
      <w:r>
        <w:rPr>
          <w:rFonts w:hint="eastAsia" w:ascii="Times New Roman" w:hAnsi="Times New Roman" w:cs="Times New Roman"/>
          <w:sz w:val="13"/>
          <w:szCs w:val="15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3"/>
          <w:szCs w:val="15"/>
          <w:vertAlign w:val="superscript"/>
        </w:rPr>
        <w:t>5</w:t>
      </w:r>
      <w:r>
        <w:rPr>
          <w:rFonts w:hint="default" w:ascii="Times New Roman" w:hAnsi="Times New Roman" w:cs="Times New Roman"/>
          <w:sz w:val="13"/>
          <w:szCs w:val="15"/>
        </w:rPr>
        <w:t>FAB, French–American–British classification systems</w:t>
      </w:r>
      <w:r>
        <w:rPr>
          <w:rFonts w:hint="eastAsia" w:ascii="Times New Roman" w:hAnsi="Times New Roman" w:cs="Times New Roman"/>
          <w:sz w:val="13"/>
          <w:szCs w:val="15"/>
          <w:lang w:val="en-US" w:eastAsia="zh-CN"/>
        </w:rPr>
        <w:t>.</w:t>
      </w:r>
    </w:p>
    <w:p>
      <w:pPr>
        <w:rPr>
          <w:rFonts w:hint="eastAsia" w:ascii="Times New Roman" w:hAnsi="Times New Roman" w:cs="Times New Roman"/>
          <w:sz w:val="13"/>
          <w:szCs w:val="15"/>
          <w:lang w:val="en-US" w:eastAsia="zh-CN"/>
        </w:rPr>
      </w:pPr>
    </w:p>
    <w:p>
      <w:pPr>
        <w:autoSpaceDE w:val="0"/>
        <w:autoSpaceDN w:val="0"/>
        <w:adjustRightInd w:val="0"/>
        <w:jc w:val="left"/>
        <w:rPr>
          <w:rFonts w:ascii="黑体" w:hAnsi="黑体" w:eastAsia="黑体" w:cs="黑体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sz w:val="11"/>
          <w:szCs w:val="11"/>
          <w:lang w:val="en-US" w:eastAsia="zh-CN"/>
        </w:rPr>
        <w:t>Table 2 Multivariate analysis for OS in AML patients（CPT1B）</w:t>
      </w:r>
    </w:p>
    <w:tbl>
      <w:tblPr>
        <w:tblStyle w:val="3"/>
        <w:tblW w:w="8313" w:type="dxa"/>
        <w:tblInd w:w="9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1991"/>
        <w:gridCol w:w="416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159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</w:p>
        </w:tc>
        <w:tc>
          <w:tcPr>
            <w:tcW w:w="6154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Univariate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2159" w:type="dxa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Variables</w:t>
            </w:r>
          </w:p>
        </w:tc>
        <w:tc>
          <w:tcPr>
            <w:tcW w:w="199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P-value</w:t>
            </w:r>
          </w:p>
        </w:tc>
        <w:tc>
          <w:tcPr>
            <w:tcW w:w="416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HR（95%CI）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2159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CPT1B expression（High vs Low）</w:t>
            </w:r>
          </w:p>
        </w:tc>
        <w:tc>
          <w:tcPr>
            <w:tcW w:w="1991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0.021</w:t>
            </w:r>
          </w:p>
        </w:tc>
        <w:tc>
          <w:tcPr>
            <w:tcW w:w="4163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1.526(1.065,2.187)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2159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age</w:t>
            </w:r>
          </w:p>
        </w:tc>
        <w:tc>
          <w:tcPr>
            <w:tcW w:w="1991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&lt;0.001</w:t>
            </w:r>
          </w:p>
        </w:tc>
        <w:tc>
          <w:tcPr>
            <w:tcW w:w="4163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1.034(1.024,1.044)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2159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WBC</w:t>
            </w:r>
          </w:p>
        </w:tc>
        <w:tc>
          <w:tcPr>
            <w:tcW w:w="1991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&lt;0.001</w:t>
            </w:r>
          </w:p>
        </w:tc>
        <w:tc>
          <w:tcPr>
            <w:tcW w:w="4163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1.004(1.002,1.006)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6" w:hRule="atLeast"/>
        </w:trPr>
        <w:tc>
          <w:tcPr>
            <w:tcW w:w="8313" w:type="dxa"/>
            <w:gridSpan w:val="3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Gene mutation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6" w:hRule="atLeast"/>
        </w:trPr>
        <w:tc>
          <w:tcPr>
            <w:tcW w:w="2159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FLT3ITD</w:t>
            </w:r>
          </w:p>
        </w:tc>
        <w:tc>
          <w:tcPr>
            <w:tcW w:w="1991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&lt;0.001</w:t>
            </w:r>
          </w:p>
        </w:tc>
        <w:tc>
          <w:tcPr>
            <w:tcW w:w="4163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2.485(1.752,3.526)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2159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NPM1</w:t>
            </w:r>
          </w:p>
        </w:tc>
        <w:tc>
          <w:tcPr>
            <w:tcW w:w="1991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0.027</w:t>
            </w:r>
          </w:p>
        </w:tc>
        <w:tc>
          <w:tcPr>
            <w:tcW w:w="4163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1.456(1.043,2.034)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2159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DNMT3a</w:t>
            </w:r>
          </w:p>
        </w:tc>
        <w:tc>
          <w:tcPr>
            <w:tcW w:w="1991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0.002</w:t>
            </w:r>
          </w:p>
        </w:tc>
        <w:tc>
          <w:tcPr>
            <w:tcW w:w="4163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1.971(1.282,3.03)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2159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CEBPA</w:t>
            </w:r>
          </w:p>
        </w:tc>
        <w:tc>
          <w:tcPr>
            <w:tcW w:w="1991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&lt;0.001</w:t>
            </w:r>
          </w:p>
        </w:tc>
        <w:tc>
          <w:tcPr>
            <w:tcW w:w="4163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0.243(0.124,0.477)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2159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IDH1</w:t>
            </w:r>
          </w:p>
        </w:tc>
        <w:tc>
          <w:tcPr>
            <w:tcW w:w="1991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0.084</w:t>
            </w:r>
          </w:p>
        </w:tc>
        <w:tc>
          <w:tcPr>
            <w:tcW w:w="4163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1.386(0.957,2.007)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6" w:hRule="atLeast"/>
        </w:trPr>
        <w:tc>
          <w:tcPr>
            <w:tcW w:w="2159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IDH2</w:t>
            </w:r>
          </w:p>
        </w:tc>
        <w:tc>
          <w:tcPr>
            <w:tcW w:w="1991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0.736</w:t>
            </w:r>
          </w:p>
        </w:tc>
        <w:tc>
          <w:tcPr>
            <w:tcW w:w="4163" w:type="dxa"/>
            <w:shd w:val="clear" w:color="auto" w:fill="auto"/>
            <w:noWrap/>
            <w:vAlign w:val="bottom"/>
          </w:tcPr>
          <w:p>
            <w:pPr>
              <w:pStyle w:val="2"/>
              <w:widowControl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color w:val="000000"/>
                <w:sz w:val="13"/>
                <w:szCs w:val="13"/>
              </w:rPr>
              <w:t>1.081(0.686,1.703)</w:t>
            </w:r>
          </w:p>
        </w:tc>
      </w:tr>
    </w:tbl>
    <w:p>
      <w:pPr>
        <w:autoSpaceDE w:val="0"/>
        <w:autoSpaceDN w:val="0"/>
        <w:adjustRightInd w:val="0"/>
        <w:jc w:val="left"/>
        <w:rPr>
          <w:rFonts w:hint="default" w:ascii="Times New Roman" w:hAnsi="Times New Roman" w:eastAsia="黑体" w:cs="Times New Roman"/>
          <w:color w:val="000000" w:themeColor="text1"/>
          <w:sz w:val="13"/>
          <w:szCs w:val="13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13"/>
          <w:szCs w:val="13"/>
          <w14:textFill>
            <w14:solidFill>
              <w14:schemeClr w14:val="tx1"/>
            </w14:solidFill>
          </w14:textFill>
        </w:rPr>
        <w:t>HR hazard ratio；CI confidence interval；</w:t>
      </w:r>
    </w:p>
    <w:p>
      <w:pPr>
        <w:autoSpaceDE w:val="0"/>
        <w:autoSpaceDN w:val="0"/>
        <w:adjustRightInd w:val="0"/>
        <w:jc w:val="left"/>
        <w:rPr>
          <w:rFonts w:hint="default" w:ascii="Times New Roman" w:hAnsi="Times New Roman" w:eastAsia="黑体" w:cs="Times New Roman"/>
          <w:color w:val="000000" w:themeColor="text1"/>
          <w:sz w:val="13"/>
          <w:szCs w:val="13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13"/>
          <w:szCs w:val="13"/>
          <w14:textFill>
            <w14:solidFill>
              <w14:schemeClr w14:val="tx1"/>
            </w14:solidFill>
          </w14:textFill>
        </w:rPr>
        <w:t>*Multivariate analysis were performed by Cox proportional hazards models with the backward likehood stepwise procedures.</w:t>
      </w:r>
    </w:p>
    <w:p>
      <w:pPr>
        <w:autoSpaceDE w:val="0"/>
        <w:autoSpaceDN w:val="0"/>
        <w:adjustRightInd w:val="0"/>
        <w:jc w:val="left"/>
        <w:rPr>
          <w:rFonts w:hint="default" w:ascii="Times New Roman" w:hAnsi="Times New Roman" w:eastAsia="黑体" w:cs="Times New Roman"/>
          <w:color w:val="000000" w:themeColor="text1"/>
          <w:sz w:val="13"/>
          <w:szCs w:val="13"/>
          <w:lang w:val="en-US" w:eastAsia="zh-CN"/>
          <w14:textFill>
            <w14:solidFill>
              <w14:schemeClr w14:val="tx1"/>
            </w14:solidFill>
          </w14:textFill>
        </w:rPr>
      </w:pPr>
    </w:p>
    <w:bookmarkEnd w:id="0"/>
    <w:sectPr>
      <w:type w:val="continuous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B0986"/>
    <w:rsid w:val="00A87695"/>
    <w:rsid w:val="012C6437"/>
    <w:rsid w:val="02B142F0"/>
    <w:rsid w:val="03DF422F"/>
    <w:rsid w:val="043F5B61"/>
    <w:rsid w:val="0581599F"/>
    <w:rsid w:val="0748042B"/>
    <w:rsid w:val="094D6DC8"/>
    <w:rsid w:val="09811773"/>
    <w:rsid w:val="0A1F3D20"/>
    <w:rsid w:val="0C1E459C"/>
    <w:rsid w:val="10FC7F35"/>
    <w:rsid w:val="12655F9E"/>
    <w:rsid w:val="12DB42DB"/>
    <w:rsid w:val="148E0AF6"/>
    <w:rsid w:val="16CB6DEA"/>
    <w:rsid w:val="192834C8"/>
    <w:rsid w:val="1AD26957"/>
    <w:rsid w:val="1C107703"/>
    <w:rsid w:val="1C2F06CD"/>
    <w:rsid w:val="1DA03935"/>
    <w:rsid w:val="1E9E3611"/>
    <w:rsid w:val="21DC7909"/>
    <w:rsid w:val="220F62D5"/>
    <w:rsid w:val="24A558DE"/>
    <w:rsid w:val="253C15E6"/>
    <w:rsid w:val="25A665C7"/>
    <w:rsid w:val="27B10387"/>
    <w:rsid w:val="28964A79"/>
    <w:rsid w:val="28D12502"/>
    <w:rsid w:val="28E815EF"/>
    <w:rsid w:val="2D6C3B75"/>
    <w:rsid w:val="2D781621"/>
    <w:rsid w:val="2ED261CB"/>
    <w:rsid w:val="2EFB7C4E"/>
    <w:rsid w:val="311F141B"/>
    <w:rsid w:val="317E4798"/>
    <w:rsid w:val="32753AFE"/>
    <w:rsid w:val="32E85904"/>
    <w:rsid w:val="337B6C76"/>
    <w:rsid w:val="353C5B76"/>
    <w:rsid w:val="376E2F80"/>
    <w:rsid w:val="38066F0E"/>
    <w:rsid w:val="38E2072E"/>
    <w:rsid w:val="38F4117A"/>
    <w:rsid w:val="3BE74560"/>
    <w:rsid w:val="3D062023"/>
    <w:rsid w:val="40D257B2"/>
    <w:rsid w:val="4114452D"/>
    <w:rsid w:val="41652BF9"/>
    <w:rsid w:val="42004BF1"/>
    <w:rsid w:val="4443208A"/>
    <w:rsid w:val="44CB6BF2"/>
    <w:rsid w:val="49230022"/>
    <w:rsid w:val="4A140BCF"/>
    <w:rsid w:val="4A5441DE"/>
    <w:rsid w:val="4B9E1972"/>
    <w:rsid w:val="4F883320"/>
    <w:rsid w:val="4F970E67"/>
    <w:rsid w:val="5174077F"/>
    <w:rsid w:val="51806AE4"/>
    <w:rsid w:val="55E67348"/>
    <w:rsid w:val="57E138F9"/>
    <w:rsid w:val="59C67C67"/>
    <w:rsid w:val="59DF0A6D"/>
    <w:rsid w:val="5A896D7F"/>
    <w:rsid w:val="5B984641"/>
    <w:rsid w:val="5BAD1214"/>
    <w:rsid w:val="5BCA0E12"/>
    <w:rsid w:val="5C093B84"/>
    <w:rsid w:val="5C6D47F2"/>
    <w:rsid w:val="5CC527D5"/>
    <w:rsid w:val="5F5B0986"/>
    <w:rsid w:val="61731B1C"/>
    <w:rsid w:val="62EE75BA"/>
    <w:rsid w:val="63CD09B5"/>
    <w:rsid w:val="640B7234"/>
    <w:rsid w:val="65BD0BCD"/>
    <w:rsid w:val="66655339"/>
    <w:rsid w:val="66C45403"/>
    <w:rsid w:val="682F2188"/>
    <w:rsid w:val="69E73F33"/>
    <w:rsid w:val="6C2C34F2"/>
    <w:rsid w:val="6C621E0E"/>
    <w:rsid w:val="6C8B7553"/>
    <w:rsid w:val="6E1F5A1E"/>
    <w:rsid w:val="6FB65566"/>
    <w:rsid w:val="72D8283C"/>
    <w:rsid w:val="7642751C"/>
    <w:rsid w:val="769E5DF8"/>
    <w:rsid w:val="78F927D7"/>
    <w:rsid w:val="79737046"/>
    <w:rsid w:val="7A53055C"/>
    <w:rsid w:val="7B340349"/>
    <w:rsid w:val="7B43384B"/>
    <w:rsid w:val="7E767FA6"/>
    <w:rsid w:val="7FB52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2020-02-10T02:06:00Z</dcterms:created>
  <dc:creator>一米阳光</dc:creator>
  <cp:lastModifiedBy>一米阳光</cp:lastModifiedBy>
  <dcterms:modified xsi:type="dcterms:W3CDTF">2020-09-17T11:11:08Z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