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0BE9" w:rsidRDefault="00B60BE9" w:rsidP="00B60BE9">
      <w:pPr>
        <w:keepNext/>
        <w:spacing w:after="200" w:line="480" w:lineRule="auto"/>
        <w:jc w:val="both"/>
        <w:rPr>
          <w:rFonts w:ascii="Times New Roman" w:hAnsi="Times New Roman" w:cs="Times New Roman"/>
          <w:b/>
          <w:iCs/>
          <w:color w:val="auto"/>
          <w:sz w:val="24"/>
          <w:szCs w:val="24"/>
          <w:lang w:eastAsia="en-GB"/>
        </w:rPr>
      </w:pPr>
      <w:r>
        <w:rPr>
          <w:rFonts w:ascii="Times New Roman" w:hAnsi="Times New Roman" w:cs="Times New Roman"/>
          <w:b/>
          <w:iCs/>
          <w:color w:val="auto"/>
          <w:sz w:val="24"/>
          <w:szCs w:val="24"/>
          <w:lang w:eastAsia="en-GB"/>
        </w:rPr>
        <w:t>Supplementary Information</w:t>
      </w:r>
    </w:p>
    <w:p w:rsidR="00B60BE9" w:rsidRDefault="00B60BE9" w:rsidP="00B60BE9">
      <w:pPr>
        <w:keepNext/>
        <w:spacing w:after="200" w:line="480" w:lineRule="auto"/>
        <w:jc w:val="both"/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eastAsia="en-GB"/>
        </w:rPr>
        <w:t>Additional Table 1: Characteristic of patients who had repeat viral load tests between 2014 and 2015.</w:t>
      </w:r>
      <w:bookmarkStart w:id="0" w:name="_GoBack"/>
      <w:bookmarkEnd w:id="0"/>
    </w:p>
    <w:p w:rsidR="00B60BE9" w:rsidRDefault="00B60BE9" w:rsidP="00B60BE9">
      <w:pPr>
        <w:keepNext/>
        <w:spacing w:after="200" w:line="480" w:lineRule="auto"/>
        <w:jc w:val="both"/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eastAsia="en-GB"/>
        </w:rPr>
        <w:t xml:space="preserve">Additional Table 2: Association of exposure variables and viral load non-suppression for </w:t>
      </w:r>
      <w:proofErr w:type="gramStart"/>
      <w:r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eastAsia="en-GB"/>
        </w:rPr>
        <w:t>repeat  tests</w:t>
      </w:r>
      <w:proofErr w:type="gramEnd"/>
      <w:r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eastAsia="en-GB"/>
        </w:rPr>
        <w:t xml:space="preserve"> between 2014 and 2018.</w:t>
      </w:r>
    </w:p>
    <w:p w:rsidR="00B60BE9" w:rsidRDefault="00B60BE9" w:rsidP="00B60BE9">
      <w:pPr>
        <w:keepNext/>
        <w:spacing w:after="200" w:line="480" w:lineRule="auto"/>
        <w:jc w:val="both"/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eastAsia="en-GB"/>
        </w:rPr>
        <w:t>Additional Table 3: Bivariate and multivariate logistic regression analysis for repeat viral load tests done between 2014 and 2018.</w:t>
      </w:r>
    </w:p>
    <w:p w:rsidR="00B60BE9" w:rsidRDefault="00B60BE9" w:rsidP="00B60BE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</w:p>
    <w:p w:rsidR="00B60BE9" w:rsidRDefault="00B60BE9" w:rsidP="00B60BE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Figure Legends</w:t>
      </w:r>
    </w:p>
    <w:p w:rsidR="00B60BE9" w:rsidRDefault="00B60BE9" w:rsidP="00B60BE9">
      <w:pPr>
        <w:spacing w:after="0" w:line="48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Figure 1: Routine and repeat after enhanced adherence counselling study participants.</w:t>
      </w:r>
    </w:p>
    <w:p w:rsidR="00B60BE9" w:rsidRDefault="00B60BE9" w:rsidP="00B60BE9">
      <w:pPr>
        <w:spacing w:after="0" w:line="48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Figure </w:t>
      </w:r>
      <w:proofErr w:type="gramStart"/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2 :</w:t>
      </w:r>
      <w:proofErr w:type="gramEnd"/>
      <w:r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Routine viral load non-suppression over time on ART by age groups between 2014 and 2018.</w:t>
      </w:r>
    </w:p>
    <w:p w:rsidR="00B60BE9" w:rsidRDefault="00B60BE9" w:rsidP="00B60BE9">
      <w:pPr>
        <w:keepNext/>
        <w:spacing w:after="200" w:line="480" w:lineRule="auto"/>
        <w:rPr>
          <w:rFonts w:ascii="Times New Roman" w:hAnsi="Times New Roman" w:cs="Times New Roman"/>
          <w:color w:val="auto"/>
          <w:sz w:val="24"/>
          <w:szCs w:val="28"/>
        </w:rPr>
      </w:pPr>
    </w:p>
    <w:p w:rsidR="00B60BE9" w:rsidRDefault="00B60BE9" w:rsidP="00B60BE9">
      <w:pPr>
        <w:keepNext/>
        <w:spacing w:after="200" w:line="256" w:lineRule="auto"/>
        <w:rPr>
          <w:rFonts w:ascii="Times New Roman" w:eastAsia="Times New Roman" w:hAnsi="Times New Roman" w:cs="Times New Roman"/>
          <w:b/>
          <w:i/>
          <w:iCs/>
          <w:color w:val="44546A"/>
          <w:sz w:val="18"/>
          <w:szCs w:val="18"/>
          <w:lang w:eastAsia="en-GB"/>
        </w:rPr>
      </w:pPr>
      <w:bookmarkStart w:id="1" w:name="_Hlk90026439"/>
      <w:r>
        <w:rPr>
          <w:rFonts w:ascii="Times New Roman" w:eastAsia="Times New Roman" w:hAnsi="Times New Roman" w:cs="Times New Roman"/>
          <w:b/>
          <w:iCs/>
          <w:color w:val="auto"/>
          <w:sz w:val="22"/>
          <w:szCs w:val="18"/>
          <w:lang w:eastAsia="en-GB"/>
        </w:rPr>
        <w:t>Additional Table 1: Characteristic of patients who had repeat viral load tests between 2014 and 2015</w:t>
      </w:r>
      <w:r>
        <w:rPr>
          <w:rFonts w:ascii="Times New Roman" w:eastAsia="Times New Roman" w:hAnsi="Times New Roman" w:cs="Times New Roman"/>
          <w:b/>
          <w:i/>
          <w:iCs/>
          <w:color w:val="44546A"/>
          <w:sz w:val="18"/>
          <w:szCs w:val="18"/>
          <w:lang w:eastAsia="en-GB"/>
        </w:rPr>
        <w:t>.</w:t>
      </w:r>
    </w:p>
    <w:tbl>
      <w:tblPr>
        <w:tblStyle w:val="Kalender3"/>
        <w:tblW w:w="5000" w:type="pct"/>
        <w:tblInd w:w="0" w:type="dxa"/>
        <w:tblLook w:val="04A0" w:firstRow="1" w:lastRow="0" w:firstColumn="1" w:lastColumn="0" w:noHBand="0" w:noVBand="1"/>
      </w:tblPr>
      <w:tblGrid>
        <w:gridCol w:w="3755"/>
        <w:gridCol w:w="2765"/>
        <w:gridCol w:w="1016"/>
        <w:gridCol w:w="1824"/>
      </w:tblGrid>
      <w:tr w:rsidR="00B60BE9" w:rsidTr="00B60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bookmarkEnd w:id="1"/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caps/>
                <w:color w:val="auto"/>
                <w:spacing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aps/>
                <w:color w:val="auto"/>
                <w:spacing w:val="20"/>
                <w:szCs w:val="20"/>
                <w:lang w:eastAsia="en-GB"/>
              </w:rPr>
              <w:t> </w:t>
            </w:r>
            <w:r>
              <w:rPr>
                <w:rFonts w:ascii="Times New Roman" w:hAnsi="Times New Roman" w:cs="Times New Roman"/>
                <w:b/>
                <w:color w:val="auto"/>
                <w:spacing w:val="20"/>
                <w:szCs w:val="20"/>
                <w:lang w:eastAsia="en-GB"/>
              </w:rPr>
              <w:t>Variable</w:t>
            </w:r>
          </w:p>
        </w:tc>
        <w:tc>
          <w:tcPr>
            <w:tcW w:w="15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aps/>
                <w:color w:val="auto"/>
                <w:spacing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aps/>
                <w:color w:val="auto"/>
                <w:spacing w:val="20"/>
                <w:szCs w:val="20"/>
                <w:lang w:eastAsia="en-GB"/>
              </w:rPr>
              <w:t> </w:t>
            </w:r>
            <w:r>
              <w:rPr>
                <w:rFonts w:ascii="Times New Roman" w:hAnsi="Times New Roman" w:cs="Times New Roman"/>
                <w:b/>
                <w:color w:val="auto"/>
                <w:spacing w:val="20"/>
                <w:szCs w:val="20"/>
                <w:lang w:eastAsia="en-GB"/>
              </w:rPr>
              <w:t>Category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aps/>
                <w:color w:val="auto"/>
                <w:spacing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aps/>
                <w:color w:val="auto"/>
                <w:spacing w:val="20"/>
                <w:szCs w:val="20"/>
                <w:lang w:eastAsia="en-GB"/>
              </w:rPr>
              <w:t>N=1884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aps/>
                <w:color w:val="auto"/>
                <w:spacing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pacing w:val="20"/>
                <w:szCs w:val="20"/>
                <w:lang w:eastAsia="en-GB"/>
              </w:rPr>
              <w:t>Percentage (%)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Sex</w:t>
            </w:r>
          </w:p>
        </w:tc>
        <w:tc>
          <w:tcPr>
            <w:tcW w:w="153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Female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1141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60.6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Male</w:t>
            </w:r>
          </w:p>
        </w:tc>
        <w:tc>
          <w:tcPr>
            <w:tcW w:w="594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697</w:t>
            </w:r>
          </w:p>
        </w:tc>
        <w:tc>
          <w:tcPr>
            <w:tcW w:w="812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37.0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Missing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46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2.4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Median Age IQR* (Q1:Q3)</w:t>
            </w:r>
          </w:p>
        </w:tc>
        <w:tc>
          <w:tcPr>
            <w:tcW w:w="15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37(23-46)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Age</w:t>
            </w:r>
          </w:p>
        </w:tc>
        <w:tc>
          <w:tcPr>
            <w:tcW w:w="153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Children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120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6.4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 xml:space="preserve">Adolescents </w:t>
            </w:r>
          </w:p>
        </w:tc>
        <w:tc>
          <w:tcPr>
            <w:tcW w:w="594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270</w:t>
            </w:r>
          </w:p>
        </w:tc>
        <w:tc>
          <w:tcPr>
            <w:tcW w:w="812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14.3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young adults</w:t>
            </w:r>
          </w:p>
        </w:tc>
        <w:tc>
          <w:tcPr>
            <w:tcW w:w="594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94</w:t>
            </w:r>
          </w:p>
        </w:tc>
        <w:tc>
          <w:tcPr>
            <w:tcW w:w="812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5.0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 xml:space="preserve">Adults </w:t>
            </w:r>
          </w:p>
        </w:tc>
        <w:tc>
          <w:tcPr>
            <w:tcW w:w="594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1032</w:t>
            </w:r>
          </w:p>
        </w:tc>
        <w:tc>
          <w:tcPr>
            <w:tcW w:w="812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54.8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 xml:space="preserve">Elderly </w:t>
            </w:r>
          </w:p>
        </w:tc>
        <w:tc>
          <w:tcPr>
            <w:tcW w:w="594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324</w:t>
            </w:r>
          </w:p>
        </w:tc>
        <w:tc>
          <w:tcPr>
            <w:tcW w:w="812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17.2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Missing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44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2.3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ART Initiation Year</w:t>
            </w:r>
          </w:p>
        </w:tc>
        <w:tc>
          <w:tcPr>
            <w:tcW w:w="153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 xml:space="preserve">&lt;2010 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652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34.6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2011-2013</w:t>
            </w:r>
          </w:p>
        </w:tc>
        <w:tc>
          <w:tcPr>
            <w:tcW w:w="594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775</w:t>
            </w:r>
          </w:p>
        </w:tc>
        <w:tc>
          <w:tcPr>
            <w:tcW w:w="812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41.1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 xml:space="preserve">2014-2015 </w:t>
            </w:r>
          </w:p>
        </w:tc>
        <w:tc>
          <w:tcPr>
            <w:tcW w:w="594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409</w:t>
            </w:r>
          </w:p>
        </w:tc>
        <w:tc>
          <w:tcPr>
            <w:tcW w:w="812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21.7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 xml:space="preserve">&gt;2016 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48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2.5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ART Regimen</w:t>
            </w:r>
          </w:p>
        </w:tc>
        <w:tc>
          <w:tcPr>
            <w:tcW w:w="153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TDF based NNRTI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1540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81.7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non-based TDF NNRTI</w:t>
            </w:r>
          </w:p>
        </w:tc>
        <w:tc>
          <w:tcPr>
            <w:tcW w:w="594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329</w:t>
            </w:r>
          </w:p>
        </w:tc>
        <w:tc>
          <w:tcPr>
            <w:tcW w:w="812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17.5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PI Based</w:t>
            </w:r>
          </w:p>
        </w:tc>
        <w:tc>
          <w:tcPr>
            <w:tcW w:w="594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15</w:t>
            </w:r>
          </w:p>
        </w:tc>
        <w:tc>
          <w:tcPr>
            <w:tcW w:w="812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0.8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Other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0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0.0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Pregnant</w:t>
            </w:r>
          </w:p>
        </w:tc>
        <w:tc>
          <w:tcPr>
            <w:tcW w:w="153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 xml:space="preserve">Confirmed 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25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1.3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Unconfirmed **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1859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98.7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Breastfeeding</w:t>
            </w:r>
          </w:p>
        </w:tc>
        <w:tc>
          <w:tcPr>
            <w:tcW w:w="153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Confirmed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80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4.2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Unconfirmed**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1804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95.8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Consent to receive VL results notification</w:t>
            </w:r>
          </w:p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via mobile text message reminder</w:t>
            </w:r>
          </w:p>
        </w:tc>
        <w:tc>
          <w:tcPr>
            <w:tcW w:w="153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Yes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1324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70.3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No</w:t>
            </w:r>
          </w:p>
        </w:tc>
        <w:tc>
          <w:tcPr>
            <w:tcW w:w="594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434</w:t>
            </w:r>
          </w:p>
        </w:tc>
        <w:tc>
          <w:tcPr>
            <w:tcW w:w="812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23.0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Missing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126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6.7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Level of Care</w:t>
            </w:r>
          </w:p>
        </w:tc>
        <w:tc>
          <w:tcPr>
            <w:tcW w:w="153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Primary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1297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68.8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Secondary</w:t>
            </w:r>
          </w:p>
        </w:tc>
        <w:tc>
          <w:tcPr>
            <w:tcW w:w="594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568</w:t>
            </w:r>
          </w:p>
        </w:tc>
        <w:tc>
          <w:tcPr>
            <w:tcW w:w="812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30.1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Tertiary</w:t>
            </w:r>
          </w:p>
        </w:tc>
        <w:tc>
          <w:tcPr>
            <w:tcW w:w="594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17</w:t>
            </w:r>
          </w:p>
        </w:tc>
        <w:tc>
          <w:tcPr>
            <w:tcW w:w="812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0.9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Missing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0.1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EAC sessions</w:t>
            </w:r>
          </w:p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 xml:space="preserve">performed.  </w:t>
            </w:r>
          </w:p>
        </w:tc>
        <w:tc>
          <w:tcPr>
            <w:tcW w:w="153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Yes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374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19.9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No</w:t>
            </w:r>
          </w:p>
        </w:tc>
        <w:tc>
          <w:tcPr>
            <w:tcW w:w="594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428</w:t>
            </w:r>
          </w:p>
        </w:tc>
        <w:tc>
          <w:tcPr>
            <w:tcW w:w="812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22.7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Missing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1082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57.4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 xml:space="preserve">Number of EAC </w:t>
            </w:r>
          </w:p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sessions performed</w:t>
            </w:r>
          </w:p>
        </w:tc>
        <w:tc>
          <w:tcPr>
            <w:tcW w:w="153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One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37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9.9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Two</w:t>
            </w:r>
          </w:p>
        </w:tc>
        <w:tc>
          <w:tcPr>
            <w:tcW w:w="594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76</w:t>
            </w:r>
          </w:p>
        </w:tc>
        <w:tc>
          <w:tcPr>
            <w:tcW w:w="812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20.3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 xml:space="preserve">Three </w:t>
            </w:r>
          </w:p>
        </w:tc>
        <w:tc>
          <w:tcPr>
            <w:tcW w:w="594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180</w:t>
            </w:r>
          </w:p>
        </w:tc>
        <w:tc>
          <w:tcPr>
            <w:tcW w:w="812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48.1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&gt; Three</w:t>
            </w:r>
          </w:p>
        </w:tc>
        <w:tc>
          <w:tcPr>
            <w:tcW w:w="594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57</w:t>
            </w:r>
          </w:p>
        </w:tc>
        <w:tc>
          <w:tcPr>
            <w:tcW w:w="812" w:type="pct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15.2</w:t>
            </w:r>
          </w:p>
        </w:tc>
      </w:tr>
      <w:tr w:rsidR="00B60BE9" w:rsidTr="00B60BE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Missing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24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6.4</w:t>
            </w:r>
          </w:p>
        </w:tc>
      </w:tr>
    </w:tbl>
    <w:p w:rsidR="00B60BE9" w:rsidRDefault="00B60BE9" w:rsidP="00B60BE9">
      <w:pPr>
        <w:pBdr>
          <w:bottom w:val="single" w:sz="4" w:space="1" w:color="auto"/>
        </w:pBdr>
        <w:spacing w:after="160" w:line="256" w:lineRule="auto"/>
        <w:rPr>
          <w:rFonts w:ascii="Times New Roman" w:eastAsia="Times New Roman" w:hAnsi="Times New Roman" w:cs="Times New Roman"/>
          <w:color w:val="auto"/>
          <w:szCs w:val="24"/>
          <w:lang w:eastAsia="en-GB"/>
        </w:rPr>
      </w:pPr>
      <w:r>
        <w:rPr>
          <w:rFonts w:ascii="Times New Roman" w:eastAsia="Times New Roman" w:hAnsi="Times New Roman" w:cs="Times New Roman"/>
          <w:i/>
          <w:iCs/>
          <w:color w:val="auto"/>
          <w:szCs w:val="24"/>
          <w:lang w:eastAsia="en-GB"/>
        </w:rPr>
        <w:t>*</w:t>
      </w:r>
      <w:r>
        <w:rPr>
          <w:rFonts w:ascii="Times New Roman" w:eastAsia="Times New Roman" w:hAnsi="Times New Roman" w:cs="Times New Roman"/>
          <w:i/>
          <w:iCs/>
          <w:color w:val="auto"/>
          <w:sz w:val="18"/>
          <w:lang w:eastAsia="en-GB"/>
        </w:rPr>
        <w:t xml:space="preserve">IQR: Interquartile range, TDF: </w:t>
      </w:r>
      <w:proofErr w:type="spellStart"/>
      <w:r>
        <w:rPr>
          <w:rFonts w:ascii="Times New Roman" w:eastAsia="Times New Roman" w:hAnsi="Times New Roman" w:cs="Times New Roman"/>
          <w:i/>
          <w:iCs/>
          <w:color w:val="auto"/>
          <w:sz w:val="18"/>
          <w:lang w:eastAsia="en-GB"/>
        </w:rPr>
        <w:t>Tenofovir</w:t>
      </w:r>
      <w:proofErr w:type="spellEnd"/>
      <w:r>
        <w:rPr>
          <w:rFonts w:ascii="Times New Roman" w:eastAsia="Times New Roman" w:hAnsi="Times New Roman" w:cs="Times New Roman"/>
          <w:i/>
          <w:iCs/>
          <w:color w:val="auto"/>
          <w:sz w:val="18"/>
          <w:lang w:eastAsia="en-GB"/>
        </w:rPr>
        <w:t>, NNRTI: Non-nucleoside reverse transcriptase inhibitor</w:t>
      </w:r>
      <w:r>
        <w:rPr>
          <w:rFonts w:ascii="Times New Roman" w:eastAsia="Times New Roman" w:hAnsi="Times New Roman" w:cs="Times New Roman"/>
          <w:color w:val="auto"/>
          <w:szCs w:val="24"/>
          <w:lang w:eastAsia="en-GB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color w:val="auto"/>
          <w:sz w:val="18"/>
          <w:lang w:eastAsia="en-GB"/>
        </w:rPr>
        <w:t>NRTI: Nucleoside reverse transcriptase inhibitor, PI: Protease Inhibitor, VL: viral load, EAC: enhanced adherence counselling</w:t>
      </w:r>
    </w:p>
    <w:p w:rsidR="00B60BE9" w:rsidRDefault="00B60BE9" w:rsidP="00B60BE9">
      <w:pPr>
        <w:pBdr>
          <w:bottom w:val="single" w:sz="4" w:space="1" w:color="auto"/>
        </w:pBdr>
        <w:spacing w:after="160" w:line="256" w:lineRule="auto"/>
        <w:rPr>
          <w:rFonts w:ascii="Times New Roman" w:eastAsia="Times New Roman" w:hAnsi="Times New Roman" w:cs="Times New Roman"/>
          <w:i/>
          <w:iCs/>
          <w:color w:val="auto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auto"/>
          <w:szCs w:val="24"/>
          <w:lang w:eastAsia="en-GB"/>
        </w:rPr>
        <w:t>**</w:t>
      </w:r>
      <w:r>
        <w:rPr>
          <w:rFonts w:ascii="Times New Roman" w:eastAsia="Times New Roman" w:hAnsi="Times New Roman" w:cs="Times New Roman"/>
          <w:i/>
          <w:color w:val="auto"/>
          <w:sz w:val="18"/>
          <w:szCs w:val="24"/>
          <w:lang w:eastAsia="en-GB"/>
        </w:rPr>
        <w:t>Unconfirmed includes males and females of all ages</w:t>
      </w:r>
    </w:p>
    <w:p w:rsidR="00B60BE9" w:rsidRDefault="00B60BE9" w:rsidP="00B60BE9">
      <w:pPr>
        <w:spacing w:after="160" w:line="360" w:lineRule="auto"/>
        <w:jc w:val="both"/>
        <w:rPr>
          <w:rFonts w:ascii="Times New Roman" w:eastAsia="Times New Roman" w:hAnsi="Times New Roman" w:cs="Times New Roman"/>
          <w:color w:val="auto"/>
          <w:sz w:val="22"/>
          <w:szCs w:val="24"/>
          <w:lang w:eastAsia="en-GB"/>
        </w:rPr>
      </w:pPr>
    </w:p>
    <w:p w:rsidR="00B60BE9" w:rsidRDefault="00B60BE9" w:rsidP="00B60BE9">
      <w:pPr>
        <w:keepNext/>
        <w:spacing w:after="200" w:line="256" w:lineRule="auto"/>
        <w:rPr>
          <w:rFonts w:ascii="Times New Roman" w:eastAsia="Times New Roman" w:hAnsi="Times New Roman" w:cs="Times New Roman"/>
          <w:i/>
          <w:iCs/>
          <w:color w:val="auto"/>
          <w:sz w:val="22"/>
          <w:szCs w:val="18"/>
          <w:lang w:eastAsia="en-GB"/>
        </w:rPr>
      </w:pPr>
      <w:bookmarkStart w:id="2" w:name="_Toc43200318"/>
      <w:bookmarkStart w:id="3" w:name="_Hlk90026479"/>
      <w:r>
        <w:rPr>
          <w:rFonts w:ascii="Times New Roman" w:eastAsia="Times New Roman" w:hAnsi="Times New Roman" w:cs="Times New Roman"/>
          <w:b/>
          <w:iCs/>
          <w:color w:val="auto"/>
          <w:sz w:val="22"/>
          <w:szCs w:val="18"/>
          <w:lang w:eastAsia="en-GB"/>
        </w:rPr>
        <w:t xml:space="preserve">Additional Table 2: Association of exposure variables and viral load non-suppression for </w:t>
      </w:r>
      <w:proofErr w:type="gramStart"/>
      <w:r>
        <w:rPr>
          <w:rFonts w:ascii="Times New Roman" w:eastAsia="Times New Roman" w:hAnsi="Times New Roman" w:cs="Times New Roman"/>
          <w:b/>
          <w:iCs/>
          <w:color w:val="auto"/>
          <w:sz w:val="22"/>
          <w:szCs w:val="18"/>
          <w:lang w:eastAsia="en-GB"/>
        </w:rPr>
        <w:t>repeat  tests</w:t>
      </w:r>
      <w:proofErr w:type="gramEnd"/>
      <w:r>
        <w:rPr>
          <w:rFonts w:ascii="Times New Roman" w:eastAsia="Times New Roman" w:hAnsi="Times New Roman" w:cs="Times New Roman"/>
          <w:b/>
          <w:iCs/>
          <w:color w:val="auto"/>
          <w:sz w:val="22"/>
          <w:szCs w:val="18"/>
          <w:lang w:eastAsia="en-GB"/>
        </w:rPr>
        <w:t xml:space="preserve"> between 2014 and 2018</w:t>
      </w:r>
      <w:bookmarkEnd w:id="2"/>
      <w:r>
        <w:rPr>
          <w:rFonts w:ascii="Times New Roman" w:eastAsia="Times New Roman" w:hAnsi="Times New Roman" w:cs="Times New Roman"/>
          <w:b/>
          <w:iCs/>
          <w:color w:val="auto"/>
          <w:sz w:val="22"/>
          <w:szCs w:val="18"/>
          <w:lang w:eastAsia="en-GB"/>
        </w:rPr>
        <w:t>.</w:t>
      </w:r>
    </w:p>
    <w:tbl>
      <w:tblPr>
        <w:tblStyle w:val="Kalender3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520"/>
        <w:gridCol w:w="2058"/>
        <w:gridCol w:w="1067"/>
        <w:gridCol w:w="1068"/>
        <w:gridCol w:w="1068"/>
        <w:gridCol w:w="874"/>
        <w:gridCol w:w="1264"/>
      </w:tblGrid>
      <w:tr w:rsidR="00B60BE9" w:rsidTr="00B60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bookmarkEnd w:id="3"/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caps/>
                <w:color w:val="auto"/>
                <w:spacing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aps/>
                <w:color w:val="auto"/>
                <w:spacing w:val="20"/>
                <w:szCs w:val="20"/>
                <w:lang w:eastAsia="en-GB"/>
              </w:rPr>
              <w:t> </w:t>
            </w:r>
            <w:r>
              <w:rPr>
                <w:rFonts w:ascii="Times New Roman" w:hAnsi="Times New Roman" w:cs="Times New Roman"/>
                <w:b/>
                <w:color w:val="auto"/>
                <w:spacing w:val="20"/>
                <w:szCs w:val="20"/>
                <w:lang w:eastAsia="en-GB"/>
              </w:rPr>
              <w:t>Variable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B60BE9" w:rsidRDefault="00B60BE9">
            <w:pPr>
              <w:spacing w:after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aps/>
                <w:color w:val="auto"/>
                <w:spacing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aps/>
                <w:color w:val="auto"/>
                <w:spacing w:val="20"/>
                <w:szCs w:val="20"/>
                <w:lang w:eastAsia="en-GB"/>
              </w:rPr>
              <w:t> </w:t>
            </w:r>
            <w:r>
              <w:rPr>
                <w:rFonts w:ascii="Times New Roman" w:hAnsi="Times New Roman" w:cs="Times New Roman"/>
                <w:b/>
                <w:color w:val="auto"/>
                <w:spacing w:val="20"/>
                <w:szCs w:val="20"/>
                <w:lang w:eastAsia="en-GB"/>
              </w:rPr>
              <w:t>Category</w:t>
            </w:r>
          </w:p>
        </w:tc>
        <w:tc>
          <w:tcPr>
            <w:tcW w:w="21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B60BE9" w:rsidRDefault="00B60BE9">
            <w:pPr>
              <w:spacing w:after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aps/>
                <w:color w:val="auto"/>
                <w:spacing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pacing w:val="20"/>
                <w:szCs w:val="20"/>
                <w:lang w:eastAsia="en-GB"/>
              </w:rPr>
              <w:t>Suppression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B60BE9" w:rsidRDefault="00B60BE9">
            <w:pPr>
              <w:spacing w:after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aps/>
                <w:color w:val="auto"/>
                <w:spacing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pacing w:val="20"/>
                <w:szCs w:val="20"/>
                <w:lang w:eastAsia="en-GB"/>
              </w:rPr>
              <w:t>Non-suppression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B60BE9" w:rsidRDefault="00B60BE9">
            <w:pPr>
              <w:spacing w:after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aps/>
                <w:color w:val="auto"/>
                <w:spacing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pacing w:val="20"/>
                <w:szCs w:val="20"/>
                <w:lang w:eastAsia="en-GB"/>
              </w:rPr>
              <w:t>p-value**</w:t>
            </w: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 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 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n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%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n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Sex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Female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565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49.5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576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50.5</w:t>
            </w:r>
          </w:p>
        </w:tc>
        <w:tc>
          <w:tcPr>
            <w:tcW w:w="126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0.007</w:t>
            </w: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2058" w:type="dxa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Male</w:t>
            </w:r>
          </w:p>
        </w:tc>
        <w:tc>
          <w:tcPr>
            <w:tcW w:w="1067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297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42.6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400</w:t>
            </w:r>
          </w:p>
        </w:tc>
        <w:tc>
          <w:tcPr>
            <w:tcW w:w="874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57.4</w:t>
            </w:r>
          </w:p>
        </w:tc>
        <w:tc>
          <w:tcPr>
            <w:tcW w:w="1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Missing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26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56.5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43.5</w:t>
            </w:r>
          </w:p>
        </w:tc>
        <w:tc>
          <w:tcPr>
            <w:tcW w:w="1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Age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Children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49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40.8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71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59.2</w:t>
            </w:r>
          </w:p>
        </w:tc>
        <w:tc>
          <w:tcPr>
            <w:tcW w:w="126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&lt;0.001</w:t>
            </w: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2058" w:type="dxa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 xml:space="preserve">Adolescents </w:t>
            </w:r>
          </w:p>
        </w:tc>
        <w:tc>
          <w:tcPr>
            <w:tcW w:w="1067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74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27.4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196</w:t>
            </w:r>
          </w:p>
        </w:tc>
        <w:tc>
          <w:tcPr>
            <w:tcW w:w="874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72.6</w:t>
            </w:r>
          </w:p>
        </w:tc>
        <w:tc>
          <w:tcPr>
            <w:tcW w:w="1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2058" w:type="dxa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young adults</w:t>
            </w:r>
          </w:p>
        </w:tc>
        <w:tc>
          <w:tcPr>
            <w:tcW w:w="1067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22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23.4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72</w:t>
            </w:r>
          </w:p>
        </w:tc>
        <w:tc>
          <w:tcPr>
            <w:tcW w:w="874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76.6</w:t>
            </w:r>
          </w:p>
        </w:tc>
        <w:tc>
          <w:tcPr>
            <w:tcW w:w="1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2058" w:type="dxa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 xml:space="preserve">Adults </w:t>
            </w:r>
          </w:p>
        </w:tc>
        <w:tc>
          <w:tcPr>
            <w:tcW w:w="1067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531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51.5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501</w:t>
            </w:r>
          </w:p>
        </w:tc>
        <w:tc>
          <w:tcPr>
            <w:tcW w:w="874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48.5</w:t>
            </w:r>
          </w:p>
        </w:tc>
        <w:tc>
          <w:tcPr>
            <w:tcW w:w="1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 xml:space="preserve">Elderly 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196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60.5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128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39.5</w:t>
            </w:r>
          </w:p>
        </w:tc>
        <w:tc>
          <w:tcPr>
            <w:tcW w:w="1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ART Initiation Year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 xml:space="preserve">&lt;2010 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332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50.9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320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49.1</w:t>
            </w:r>
          </w:p>
        </w:tc>
        <w:tc>
          <w:tcPr>
            <w:tcW w:w="126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0.123</w:t>
            </w: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2058" w:type="dxa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 xml:space="preserve">2011-2013 </w:t>
            </w:r>
          </w:p>
        </w:tc>
        <w:tc>
          <w:tcPr>
            <w:tcW w:w="1067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348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44.9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427</w:t>
            </w:r>
          </w:p>
        </w:tc>
        <w:tc>
          <w:tcPr>
            <w:tcW w:w="874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55.1</w:t>
            </w:r>
          </w:p>
        </w:tc>
        <w:tc>
          <w:tcPr>
            <w:tcW w:w="1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2058" w:type="dxa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 xml:space="preserve">2014-2015 </w:t>
            </w:r>
          </w:p>
        </w:tc>
        <w:tc>
          <w:tcPr>
            <w:tcW w:w="1067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186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45.5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223</w:t>
            </w:r>
          </w:p>
        </w:tc>
        <w:tc>
          <w:tcPr>
            <w:tcW w:w="874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54.5</w:t>
            </w:r>
          </w:p>
        </w:tc>
        <w:tc>
          <w:tcPr>
            <w:tcW w:w="1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 xml:space="preserve">&gt;2016 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45.8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54.2</w:t>
            </w:r>
          </w:p>
        </w:tc>
        <w:tc>
          <w:tcPr>
            <w:tcW w:w="1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Breastfeeding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Confirmed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42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52.5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38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47.5</w:t>
            </w:r>
          </w:p>
        </w:tc>
        <w:tc>
          <w:tcPr>
            <w:tcW w:w="126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0.326</w:t>
            </w: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Unconfirmed*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846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46.9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958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53.1</w:t>
            </w:r>
          </w:p>
        </w:tc>
        <w:tc>
          <w:tcPr>
            <w:tcW w:w="1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Pregnant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 xml:space="preserve">Confirmed 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17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68.0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8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32.0</w:t>
            </w:r>
          </w:p>
        </w:tc>
        <w:tc>
          <w:tcPr>
            <w:tcW w:w="126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0.035</w:t>
            </w: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Unconfirmed *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871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46.9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988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53.1</w:t>
            </w:r>
          </w:p>
        </w:tc>
        <w:tc>
          <w:tcPr>
            <w:tcW w:w="1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Consent to receive VL results notification</w:t>
            </w:r>
          </w:p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via mobile text message reminder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Yes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649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49.0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62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51</w:t>
            </w:r>
          </w:p>
        </w:tc>
        <w:tc>
          <w:tcPr>
            <w:tcW w:w="126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0.005</w:t>
            </w: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</w:p>
        </w:tc>
        <w:tc>
          <w:tcPr>
            <w:tcW w:w="2058" w:type="dxa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No</w:t>
            </w:r>
          </w:p>
        </w:tc>
        <w:tc>
          <w:tcPr>
            <w:tcW w:w="1067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175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40.3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259</w:t>
            </w:r>
          </w:p>
        </w:tc>
        <w:tc>
          <w:tcPr>
            <w:tcW w:w="874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59.7</w:t>
            </w:r>
          </w:p>
        </w:tc>
        <w:tc>
          <w:tcPr>
            <w:tcW w:w="1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Missing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64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50.8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62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49.5</w:t>
            </w:r>
          </w:p>
        </w:tc>
        <w:tc>
          <w:tcPr>
            <w:tcW w:w="1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  <w:t>Level of Care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Primary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600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46.3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697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53.6</w:t>
            </w:r>
          </w:p>
        </w:tc>
        <w:tc>
          <w:tcPr>
            <w:tcW w:w="126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0.30</w:t>
            </w: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2058" w:type="dxa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Secondary</w:t>
            </w:r>
          </w:p>
        </w:tc>
        <w:tc>
          <w:tcPr>
            <w:tcW w:w="1067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281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49.5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287</w:t>
            </w:r>
          </w:p>
        </w:tc>
        <w:tc>
          <w:tcPr>
            <w:tcW w:w="874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50.5</w:t>
            </w:r>
          </w:p>
        </w:tc>
        <w:tc>
          <w:tcPr>
            <w:tcW w:w="1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2058" w:type="dxa"/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Tertiary</w:t>
            </w:r>
          </w:p>
        </w:tc>
        <w:tc>
          <w:tcPr>
            <w:tcW w:w="1067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7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41.2</w:t>
            </w:r>
          </w:p>
        </w:tc>
        <w:tc>
          <w:tcPr>
            <w:tcW w:w="1068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10</w:t>
            </w:r>
          </w:p>
        </w:tc>
        <w:tc>
          <w:tcPr>
            <w:tcW w:w="874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58.8</w:t>
            </w:r>
          </w:p>
        </w:tc>
        <w:tc>
          <w:tcPr>
            <w:tcW w:w="1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0"/>
                <w:lang w:eastAsia="en-GB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Missing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0.0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  <w:t>100</w:t>
            </w:r>
          </w:p>
        </w:tc>
        <w:tc>
          <w:tcPr>
            <w:tcW w:w="1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</w:p>
        </w:tc>
      </w:tr>
      <w:tr w:rsidR="00B60BE9" w:rsidTr="00B60BE9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i/>
                <w:iCs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i/>
                <w:iCs/>
                <w:color w:val="auto"/>
                <w:szCs w:val="20"/>
                <w:lang w:eastAsia="en-GB"/>
              </w:rPr>
              <w:t>*Unconfirmed includes males and females of all ages</w:t>
            </w:r>
          </w:p>
          <w:p w:rsidR="00B60BE9" w:rsidRDefault="00B60BE9">
            <w:pPr>
              <w:spacing w:after="0"/>
              <w:jc w:val="left"/>
              <w:rPr>
                <w:rFonts w:ascii="Times New Roman" w:hAnsi="Times New Roman" w:cs="Times New Roman"/>
                <w:i/>
                <w:iCs/>
                <w:color w:val="auto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i/>
                <w:iCs/>
                <w:color w:val="auto"/>
                <w:szCs w:val="20"/>
                <w:lang w:eastAsia="en-GB"/>
              </w:rPr>
              <w:t xml:space="preserve"> **Chi-square</w:t>
            </w:r>
          </w:p>
          <w:p w:rsidR="00B60BE9" w:rsidRDefault="00B60BE9">
            <w:pPr>
              <w:spacing w:after="0"/>
              <w:rPr>
                <w:rFonts w:ascii="Times New Roman" w:hAnsi="Times New Roman" w:cs="Times New Roman"/>
                <w:color w:val="auto"/>
                <w:szCs w:val="20"/>
                <w:lang w:eastAsia="en-GB"/>
              </w:rPr>
            </w:pPr>
          </w:p>
        </w:tc>
      </w:tr>
    </w:tbl>
    <w:p w:rsidR="00B60BE9" w:rsidRDefault="00B60BE9" w:rsidP="00B60BE9">
      <w:pPr>
        <w:spacing w:after="160" w:line="256" w:lineRule="auto"/>
        <w:rPr>
          <w:rFonts w:ascii="Times New Roman" w:eastAsia="Times New Roman" w:hAnsi="Times New Roman" w:cs="Times New Roman"/>
          <w:color w:val="auto"/>
          <w:sz w:val="22"/>
          <w:szCs w:val="24"/>
          <w:lang w:eastAsia="en-GB"/>
        </w:rPr>
      </w:pPr>
    </w:p>
    <w:p w:rsidR="00B60BE9" w:rsidRDefault="00B60BE9" w:rsidP="00B60BE9">
      <w:pPr>
        <w:keepNext/>
        <w:spacing w:after="200" w:line="256" w:lineRule="auto"/>
        <w:rPr>
          <w:rFonts w:ascii="Times New Roman" w:eastAsia="Times New Roman" w:hAnsi="Times New Roman" w:cs="Times New Roman"/>
          <w:b/>
          <w:iCs/>
          <w:color w:val="auto"/>
          <w:sz w:val="22"/>
          <w:szCs w:val="18"/>
          <w:lang w:eastAsia="en-GB"/>
        </w:rPr>
      </w:pPr>
      <w:bookmarkStart w:id="4" w:name="_Toc43200319"/>
      <w:bookmarkStart w:id="5" w:name="_Hlk90026519"/>
      <w:r>
        <w:rPr>
          <w:rFonts w:ascii="Times New Roman" w:eastAsia="Times New Roman" w:hAnsi="Times New Roman" w:cs="Times New Roman"/>
          <w:b/>
          <w:iCs/>
          <w:color w:val="auto"/>
          <w:sz w:val="22"/>
          <w:szCs w:val="18"/>
          <w:lang w:eastAsia="en-GB"/>
        </w:rPr>
        <w:t>Additional Table 3: Bivariate and multivariate logistic regression analysis for repeat viral load tests done between 2014 and 2018.</w:t>
      </w:r>
      <w:bookmarkEnd w:id="4"/>
    </w:p>
    <w:tbl>
      <w:tblPr>
        <w:tblStyle w:val="Kalender3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459"/>
        <w:gridCol w:w="1660"/>
        <w:gridCol w:w="850"/>
        <w:gridCol w:w="993"/>
        <w:gridCol w:w="1559"/>
        <w:gridCol w:w="992"/>
        <w:gridCol w:w="992"/>
        <w:gridCol w:w="1325"/>
      </w:tblGrid>
      <w:tr w:rsidR="00B60BE9" w:rsidTr="00B60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bookmarkEnd w:id="5"/>
          <w:p w:rsidR="00B60BE9" w:rsidRDefault="00B60BE9">
            <w:pPr>
              <w:spacing w:after="0"/>
              <w:jc w:val="both"/>
              <w:rPr>
                <w:rFonts w:ascii="Times New Roman" w:hAnsi="Times New Roman" w:cs="Times New Roman"/>
                <w:b/>
                <w:caps/>
                <w:color w:val="auto"/>
                <w:spacing w:val="20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pacing w:val="20"/>
                <w:szCs w:val="24"/>
                <w:lang w:eastAsia="en-GB"/>
              </w:rPr>
              <w:t>Variables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aps/>
                <w:color w:val="auto"/>
                <w:spacing w:val="20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pacing w:val="20"/>
                <w:szCs w:val="24"/>
                <w:lang w:eastAsia="en-GB"/>
              </w:rPr>
              <w:t>Categories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aps/>
                <w:color w:val="auto"/>
                <w:spacing w:val="20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pacing w:val="20"/>
                <w:szCs w:val="24"/>
                <w:lang w:eastAsia="en-GB"/>
              </w:rPr>
              <w:t>OR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aps/>
                <w:color w:val="auto"/>
                <w:spacing w:val="20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pacing w:val="20"/>
                <w:szCs w:val="24"/>
                <w:lang w:eastAsia="en-GB"/>
              </w:rPr>
              <w:t>p-value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aps/>
                <w:color w:val="auto"/>
                <w:spacing w:val="20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pacing w:val="20"/>
                <w:szCs w:val="24"/>
                <w:lang w:eastAsia="en-GB"/>
              </w:rPr>
              <w:t>(95%CI)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aps/>
                <w:color w:val="auto"/>
                <w:spacing w:val="20"/>
                <w:szCs w:val="24"/>
                <w:lang w:eastAsia="en-GB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auto"/>
                <w:spacing w:val="20"/>
                <w:szCs w:val="24"/>
                <w:lang w:eastAsia="en-GB"/>
              </w:rPr>
              <w:t>aOR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aps/>
                <w:color w:val="auto"/>
                <w:spacing w:val="20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pacing w:val="20"/>
                <w:szCs w:val="24"/>
                <w:lang w:eastAsia="en-GB"/>
              </w:rPr>
              <w:t>p-value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aps/>
                <w:color w:val="auto"/>
                <w:spacing w:val="20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pacing w:val="20"/>
                <w:szCs w:val="24"/>
                <w:lang w:eastAsia="en-GB"/>
              </w:rPr>
              <w:t>(95%CI)</w:t>
            </w:r>
          </w:p>
        </w:tc>
      </w:tr>
      <w:tr w:rsidR="00B60BE9" w:rsidTr="00B60BE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  <w:t>Sex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Female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1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  <w:t>0.007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color w:val="auto"/>
                <w:szCs w:val="20"/>
                <w:lang w:val="en-US" w:eastAsia="en-US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color w:val="auto"/>
                <w:szCs w:val="20"/>
                <w:lang w:val="en-US" w:eastAsia="en-US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color w:val="auto"/>
                <w:szCs w:val="20"/>
                <w:lang w:val="en-US" w:eastAsia="en-US"/>
              </w:rPr>
            </w:pPr>
          </w:p>
        </w:tc>
      </w:tr>
      <w:tr w:rsidR="00B60BE9" w:rsidTr="00B60BE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660" w:type="dxa"/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Male</w:t>
            </w:r>
          </w:p>
        </w:tc>
        <w:tc>
          <w:tcPr>
            <w:tcW w:w="850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1.32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(1.09-1.60)</w:t>
            </w:r>
          </w:p>
        </w:tc>
        <w:tc>
          <w:tcPr>
            <w:tcW w:w="992" w:type="dxa"/>
            <w:noWrap/>
            <w:vAlign w:val="center"/>
            <w:hideMark/>
          </w:tcPr>
          <w:p w:rsidR="00B60BE9" w:rsidRDefault="00B60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color w:val="auto"/>
                <w:szCs w:val="20"/>
                <w:lang w:val="en-US" w:eastAsia="en-US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color w:val="auto"/>
                <w:szCs w:val="20"/>
                <w:lang w:val="en-US" w:eastAsia="en-US"/>
              </w:rPr>
            </w:pPr>
          </w:p>
        </w:tc>
      </w:tr>
      <w:tr w:rsidR="00B60BE9" w:rsidTr="00B60BE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Missing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0.75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(0.41-1.36)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color w:val="auto"/>
                <w:szCs w:val="20"/>
                <w:lang w:val="en-US" w:eastAsia="en-US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color w:val="auto"/>
                <w:szCs w:val="20"/>
                <w:lang w:val="en-US" w:eastAsia="en-US"/>
              </w:rPr>
            </w:pPr>
          </w:p>
        </w:tc>
      </w:tr>
      <w:tr w:rsidR="00B60BE9" w:rsidTr="00B60BE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  <w:t>Age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Adults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1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  <w:t>&lt;0.001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color w:val="auto"/>
                <w:szCs w:val="20"/>
                <w:lang w:val="en-US" w:eastAsia="en-US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  <w:t>&lt;0.001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</w:tr>
      <w:tr w:rsidR="00B60BE9" w:rsidTr="00B60BE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660" w:type="dxa"/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Children</w:t>
            </w:r>
          </w:p>
        </w:tc>
        <w:tc>
          <w:tcPr>
            <w:tcW w:w="850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1.54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(1.05-2.26)</w:t>
            </w:r>
          </w:p>
        </w:tc>
        <w:tc>
          <w:tcPr>
            <w:tcW w:w="992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1.51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(1.03-2.22)</w:t>
            </w:r>
          </w:p>
        </w:tc>
      </w:tr>
      <w:tr w:rsidR="00B60BE9" w:rsidTr="00B60BE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660" w:type="dxa"/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 xml:space="preserve">Adolescents </w:t>
            </w:r>
          </w:p>
        </w:tc>
        <w:tc>
          <w:tcPr>
            <w:tcW w:w="850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2.81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(2.10-3.78)</w:t>
            </w:r>
          </w:p>
        </w:tc>
        <w:tc>
          <w:tcPr>
            <w:tcW w:w="992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2.76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(2.11-3.72)</w:t>
            </w:r>
          </w:p>
        </w:tc>
      </w:tr>
      <w:tr w:rsidR="00B60BE9" w:rsidTr="00B60BE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660" w:type="dxa"/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young adults</w:t>
            </w:r>
          </w:p>
        </w:tc>
        <w:tc>
          <w:tcPr>
            <w:tcW w:w="850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3.47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(2.15-5.80)</w:t>
            </w:r>
          </w:p>
        </w:tc>
        <w:tc>
          <w:tcPr>
            <w:tcW w:w="992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3.48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(2.16-5.83)</w:t>
            </w:r>
          </w:p>
        </w:tc>
      </w:tr>
      <w:tr w:rsidR="00B60BE9" w:rsidTr="00B60BE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 xml:space="preserve">Elderly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0.69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(0.54-0.89)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0.68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(0.53-0.88)</w:t>
            </w:r>
          </w:p>
        </w:tc>
      </w:tr>
      <w:tr w:rsidR="00B60BE9" w:rsidTr="00B60BE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  <w:t>Pregnant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 xml:space="preserve">Unconfirmed*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1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  <w:t>0.034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color w:val="auto"/>
                <w:szCs w:val="20"/>
                <w:lang w:val="en-US" w:eastAsia="en-US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  <w:t>0.05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</w:tr>
      <w:tr w:rsidR="00B60BE9" w:rsidTr="00B60BE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 xml:space="preserve">Confirmed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0.41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(0.17-0.94)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0.44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(0.18-1.00)</w:t>
            </w:r>
          </w:p>
        </w:tc>
      </w:tr>
      <w:tr w:rsidR="00B60BE9" w:rsidTr="00B60BE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  <w:t>Consent to receive VL results notification</w:t>
            </w:r>
          </w:p>
          <w:p w:rsidR="00B60BE9" w:rsidRDefault="00B60BE9">
            <w:pPr>
              <w:spacing w:after="0"/>
              <w:jc w:val="both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  <w:t>via mobile text message reminder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1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  <w:t>0.005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color w:val="auto"/>
                <w:szCs w:val="20"/>
                <w:lang w:val="en-US" w:eastAsia="en-US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color w:val="auto"/>
                <w:szCs w:val="20"/>
                <w:lang w:val="en-US" w:eastAsia="en-US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color w:val="auto"/>
                <w:szCs w:val="20"/>
                <w:lang w:val="en-US" w:eastAsia="en-US"/>
              </w:rPr>
            </w:pPr>
          </w:p>
        </w:tc>
      </w:tr>
      <w:tr w:rsidR="00B60BE9" w:rsidTr="00B60BE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660" w:type="dxa"/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Yes</w:t>
            </w:r>
          </w:p>
        </w:tc>
        <w:tc>
          <w:tcPr>
            <w:tcW w:w="850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0.70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(0.56-0.87)</w:t>
            </w:r>
          </w:p>
        </w:tc>
        <w:tc>
          <w:tcPr>
            <w:tcW w:w="992" w:type="dxa"/>
            <w:noWrap/>
            <w:vAlign w:val="center"/>
            <w:hideMark/>
          </w:tcPr>
          <w:p w:rsidR="00B60BE9" w:rsidRDefault="00B60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color w:val="auto"/>
                <w:szCs w:val="20"/>
                <w:lang w:val="en-US" w:eastAsia="en-US"/>
              </w:rPr>
            </w:pPr>
          </w:p>
        </w:tc>
        <w:tc>
          <w:tcPr>
            <w:tcW w:w="1325" w:type="dxa"/>
            <w:noWrap/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color w:val="auto"/>
                <w:szCs w:val="20"/>
                <w:lang w:val="en-US" w:eastAsia="en-US"/>
              </w:rPr>
            </w:pPr>
          </w:p>
        </w:tc>
      </w:tr>
      <w:tr w:rsidR="00B60BE9" w:rsidTr="00B60BE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Missing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0.65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4"/>
                <w:lang w:eastAsia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>(0.44-0.98)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color w:val="auto"/>
                <w:szCs w:val="20"/>
                <w:lang w:val="en-US" w:eastAsia="en-US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60BE9" w:rsidRDefault="00B60B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color w:val="auto"/>
                <w:szCs w:val="20"/>
                <w:lang w:val="en-US" w:eastAsia="en-US"/>
              </w:rPr>
            </w:pPr>
          </w:p>
        </w:tc>
      </w:tr>
      <w:tr w:rsidR="00B60BE9" w:rsidTr="00B60BE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0BE9" w:rsidRDefault="00B60BE9">
            <w:pPr>
              <w:spacing w:after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</w:p>
          <w:p w:rsidR="00B60BE9" w:rsidRDefault="00B60BE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i/>
                <w:iCs/>
                <w:color w:val="auto"/>
                <w:szCs w:val="24"/>
                <w:lang w:eastAsia="en-GB"/>
              </w:rPr>
              <w:t xml:space="preserve">*Unconfirmed includes males and females of all ages   </w:t>
            </w:r>
          </w:p>
          <w:p w:rsidR="00B60BE9" w:rsidRDefault="00B60BE9">
            <w:pPr>
              <w:spacing w:after="0"/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  <w:lang w:eastAsia="en-GB"/>
              </w:rPr>
              <w:t xml:space="preserve">                                    </w:t>
            </w:r>
          </w:p>
        </w:tc>
      </w:tr>
    </w:tbl>
    <w:p w:rsidR="00B60BE9" w:rsidRDefault="00B60BE9" w:rsidP="00B60BE9">
      <w:pPr>
        <w:spacing w:after="160" w:line="256" w:lineRule="auto"/>
        <w:rPr>
          <w:rFonts w:ascii="Times New Roman" w:eastAsia="Times New Roman" w:hAnsi="Times New Roman" w:cs="Times New Roman"/>
          <w:color w:val="auto"/>
          <w:sz w:val="22"/>
          <w:szCs w:val="24"/>
          <w:lang w:eastAsia="en-GB"/>
        </w:rPr>
      </w:pPr>
    </w:p>
    <w:p w:rsidR="00B60BE9" w:rsidRDefault="00B60BE9" w:rsidP="00B60BE9">
      <w:pPr>
        <w:spacing w:after="200" w:line="360" w:lineRule="auto"/>
        <w:jc w:val="both"/>
        <w:rPr>
          <w:rFonts w:ascii="Times New Roman" w:hAnsi="Times New Roman" w:cs="Times New Roman"/>
          <w:color w:val="auto"/>
        </w:rPr>
      </w:pPr>
    </w:p>
    <w:p w:rsidR="00FF72D2" w:rsidRDefault="00FF72D2"/>
    <w:sectPr w:rsidR="00FF72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BE9"/>
    <w:rsid w:val="00B60BE9"/>
    <w:rsid w:val="00FF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21EE98-DA59-40DD-B191-F55BE7C77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0BE9"/>
    <w:pPr>
      <w:spacing w:after="180" w:line="240" w:lineRule="auto"/>
    </w:pPr>
    <w:rPr>
      <w:rFonts w:ascii="Calibri" w:hAnsi="Calibri"/>
      <w:color w:val="44546A" w:themeColor="text2"/>
      <w:sz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Kalender3">
    <w:name w:val="Kalender 3"/>
    <w:basedOn w:val="TableNormal"/>
    <w:uiPriority w:val="99"/>
    <w:qFormat/>
    <w:rsid w:val="00B60BE9"/>
    <w:pPr>
      <w:spacing w:after="0" w:line="240" w:lineRule="auto"/>
      <w:jc w:val="right"/>
    </w:pPr>
    <w:rPr>
      <w:rFonts w:ascii="Calibri Light" w:eastAsia="Times New Roman" w:hAnsi="Calibri Light"/>
      <w:color w:val="7F7F7F"/>
      <w:lang w:val="nl-BE" w:eastAsia="nl-BE"/>
    </w:rPr>
    <w:tblPr>
      <w:tblInd w:w="0" w:type="nil"/>
    </w:tblPr>
    <w:tblStylePr w:type="firstRow">
      <w:pPr>
        <w:wordWrap/>
        <w:jc w:val="right"/>
      </w:pPr>
      <w:rPr>
        <w:color w:val="2E74B5"/>
        <w:sz w:val="44"/>
        <w:szCs w:val="44"/>
      </w:rPr>
    </w:tblStylePr>
    <w:tblStylePr w:type="firstCol">
      <w:rPr>
        <w:color w:val="2E74B5"/>
      </w:rPr>
    </w:tblStylePr>
    <w:tblStylePr w:type="lastCol">
      <w:rPr>
        <w:color w:val="2E74B5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7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578</Words>
  <Characters>3297</Characters>
  <Application>Microsoft Office Word</Application>
  <DocSecurity>0</DocSecurity>
  <Lines>27</Lines>
  <Paragraphs>7</Paragraphs>
  <ScaleCrop>false</ScaleCrop>
  <Company>Springer Nature IT</Company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2022-01-06T11:36:00Z</dcterms:created>
  <dcterms:modified xsi:type="dcterms:W3CDTF">2022-01-06T11:36:00Z</dcterms:modified>
</cp:coreProperties>
</file>