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F8AB4" w14:textId="77777777" w:rsidR="007958F0" w:rsidRDefault="007958F0" w:rsidP="007958F0">
      <w:pPr>
        <w:jc w:val="both"/>
        <w:rPr>
          <w:rFonts w:ascii="Arial" w:hAnsi="Arial" w:cs="Arial"/>
          <w:color w:val="202020"/>
          <w:sz w:val="22"/>
          <w:szCs w:val="22"/>
        </w:rPr>
      </w:pPr>
    </w:p>
    <w:p w14:paraId="30691E4B" w14:textId="77777777" w:rsidR="007958F0" w:rsidRDefault="007958F0" w:rsidP="007958F0">
      <w:pPr>
        <w:jc w:val="both"/>
        <w:rPr>
          <w:rFonts w:ascii="Arial" w:hAnsi="Arial" w:cs="Arial"/>
          <w:color w:val="202020"/>
          <w:sz w:val="22"/>
          <w:szCs w:val="22"/>
          <w:shd w:val="clear" w:color="auto" w:fill="FFFFFF"/>
        </w:rPr>
      </w:pPr>
      <w:r>
        <w:rPr>
          <w:rFonts w:ascii="Arial" w:hAnsi="Arial" w:cs="Arial"/>
          <w:b/>
          <w:bCs/>
          <w:noProof/>
          <w:color w:val="000000" w:themeColor="text1"/>
          <w:sz w:val="22"/>
          <w:szCs w:val="22"/>
          <w:lang w:val="en-US"/>
        </w:rPr>
        <w:lastRenderedPageBreak/>
        <w:drawing>
          <wp:anchor distT="0" distB="0" distL="114300" distR="114300" simplePos="0" relativeHeight="251659264" behindDoc="1" locked="0" layoutInCell="1" allowOverlap="1" wp14:anchorId="2FEC5784" wp14:editId="18E637B3">
            <wp:simplePos x="0" y="0"/>
            <wp:positionH relativeFrom="column">
              <wp:posOffset>1029335</wp:posOffset>
            </wp:positionH>
            <wp:positionV relativeFrom="paragraph">
              <wp:posOffset>455</wp:posOffset>
            </wp:positionV>
            <wp:extent cx="5155565" cy="5803900"/>
            <wp:effectExtent l="0" t="0" r="635" b="0"/>
            <wp:wrapTight wrapText="bothSides">
              <wp:wrapPolygon edited="0">
                <wp:start x="0" y="0"/>
                <wp:lineTo x="0" y="21553"/>
                <wp:lineTo x="21549" y="21553"/>
                <wp:lineTo x="21549" y="0"/>
                <wp:lineTo x="0" y="0"/>
              </wp:wrapPolygon>
            </wp:wrapTight>
            <wp:docPr id="24" name="Picture 2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Diagram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5565" cy="5803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BBE34F" w14:textId="77777777" w:rsidR="007958F0" w:rsidRDefault="007958F0" w:rsidP="007958F0">
      <w:pPr>
        <w:rPr>
          <w:rFonts w:ascii="Arial" w:hAnsi="Arial" w:cs="Arial"/>
          <w:color w:val="202020"/>
          <w:sz w:val="22"/>
          <w:szCs w:val="22"/>
          <w:lang w:val="en-US"/>
        </w:rPr>
      </w:pPr>
    </w:p>
    <w:p w14:paraId="020C3328" w14:textId="77777777" w:rsidR="007958F0" w:rsidRDefault="007958F0" w:rsidP="007958F0">
      <w:pPr>
        <w:rPr>
          <w:rFonts w:ascii="Arial" w:hAnsi="Arial" w:cs="Arial"/>
          <w:color w:val="202020"/>
          <w:sz w:val="22"/>
          <w:szCs w:val="22"/>
          <w:lang w:val="en-US"/>
        </w:rPr>
      </w:pPr>
    </w:p>
    <w:p w14:paraId="291336C3" w14:textId="77777777" w:rsidR="007958F0" w:rsidRPr="00AE33C3" w:rsidRDefault="007958F0" w:rsidP="007958F0">
      <w:pPr>
        <w:rPr>
          <w:rFonts w:ascii="Arial" w:hAnsi="Arial" w:cs="Arial"/>
          <w:color w:val="202020"/>
          <w:sz w:val="22"/>
          <w:szCs w:val="22"/>
          <w:lang w:val="en-US"/>
        </w:rPr>
      </w:pPr>
    </w:p>
    <w:p w14:paraId="61289747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6D4077BA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D3DFADA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DCD66C5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BEC6AC9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7C964FA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433C15C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08DA7AF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6566C66E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2D74C58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8989268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6035495D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74C6DB7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A1A0C20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64501132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6EB0A8BE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A466B5A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A910594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88FED36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48C006B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9F8CD82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8F0B664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591DCB7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7CD2FC6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5AE89DB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3EB88FA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DF2A04F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FFCC718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F6EE01A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B980D00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337A4C0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8B81504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90B2E4B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CFBC60B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1E962D2" w14:textId="77777777" w:rsidR="007958F0" w:rsidRDefault="007958F0" w:rsidP="007958F0">
      <w:pPr>
        <w:spacing w:line="360" w:lineRule="auto"/>
        <w:jc w:val="both"/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</w:pPr>
      <w:r w:rsidRPr="00F40510">
        <w:rPr>
          <w:rFonts w:ascii="Arial" w:hAnsi="Arial" w:cs="Arial"/>
          <w:b/>
          <w:bCs/>
          <w:sz w:val="22"/>
          <w:szCs w:val="22"/>
          <w:lang w:val="en-US"/>
        </w:rPr>
        <w:t>S</w:t>
      </w:r>
      <w:r>
        <w:rPr>
          <w:rFonts w:ascii="Arial" w:hAnsi="Arial" w:cs="Arial"/>
          <w:b/>
          <w:bCs/>
          <w:sz w:val="22"/>
          <w:szCs w:val="22"/>
          <w:lang w:val="en-US"/>
        </w:rPr>
        <w:t>1</w:t>
      </w:r>
      <w:r w:rsidRPr="00F40510">
        <w:rPr>
          <w:rFonts w:ascii="Arial" w:hAnsi="Arial" w:cs="Arial"/>
          <w:b/>
          <w:bCs/>
          <w:sz w:val="22"/>
          <w:szCs w:val="22"/>
          <w:lang w:val="en-US"/>
        </w:rPr>
        <w:t xml:space="preserve"> Figure</w:t>
      </w:r>
      <w:r>
        <w:rPr>
          <w:rFonts w:ascii="Arial" w:hAnsi="Arial" w:cs="Arial"/>
          <w:b/>
          <w:bCs/>
          <w:sz w:val="22"/>
          <w:szCs w:val="22"/>
          <w:lang w:val="en-US"/>
        </w:rPr>
        <w:t>. CD4</w:t>
      </w:r>
      <w:r w:rsidRPr="00586FDB">
        <w:rPr>
          <w:rFonts w:ascii="Arial" w:hAnsi="Arial" w:cs="Arial"/>
          <w:b/>
          <w:bCs/>
          <w:sz w:val="22"/>
          <w:szCs w:val="22"/>
          <w:vertAlign w:val="superscript"/>
          <w:lang w:val="en-US"/>
        </w:rPr>
        <w:t>+</w:t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 T cell depletion dynamic. 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Frequency of 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>CD4</w:t>
      </w:r>
      <w:r w:rsidRPr="00586FDB">
        <w:rPr>
          <w:rFonts w:ascii="Arial" w:hAnsi="Arial" w:cs="Arial"/>
          <w:color w:val="202020"/>
          <w:sz w:val="22"/>
          <w:szCs w:val="22"/>
          <w:shd w:val="clear" w:color="auto" w:fill="FFFFFF"/>
          <w:vertAlign w:val="superscript"/>
          <w:lang w:val="en-US"/>
        </w:rPr>
        <w:t>+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 xml:space="preserve"> T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 xml:space="preserve">cells before and after depletion treatment 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</w:rPr>
        <w:t>w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>ere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assessed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 xml:space="preserve"> by immunophenotyping using flow cytometry 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during 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>pre-treatment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and 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>post-infection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. 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 xml:space="preserve">Depletion efficacy for depleted and non-depleted animals from the (A-B) DENV3/4-ZIKV-DENV2 infection sequence (C-D) DENV2-ZIKV-DENV4 infection sequence and (E-F) ZIKV-DENV2-DENV4 infection sequence. </w:t>
      </w:r>
    </w:p>
    <w:p w14:paraId="0180EF6E" w14:textId="77777777" w:rsidR="007958F0" w:rsidRDefault="007958F0" w:rsidP="007958F0">
      <w:pPr>
        <w:spacing w:line="360" w:lineRule="auto"/>
        <w:jc w:val="both"/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</w:pPr>
    </w:p>
    <w:p w14:paraId="4A6DF9F8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81B82F9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27C74A1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B932D2B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8387495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8DD472E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C007B63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98A7056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F047853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988BCE7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DC3BEF6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  <w:r>
        <w:rPr>
          <w:rFonts w:ascii="Arial" w:hAnsi="Arial" w:cs="Arial"/>
          <w:b/>
          <w:bCs/>
          <w:noProof/>
          <w:color w:val="000000" w:themeColor="text1"/>
          <w:sz w:val="22"/>
          <w:szCs w:val="22"/>
          <w:lang w:val="en-US"/>
        </w:rPr>
        <w:lastRenderedPageBreak/>
        <w:drawing>
          <wp:anchor distT="0" distB="0" distL="114300" distR="114300" simplePos="0" relativeHeight="251668480" behindDoc="1" locked="0" layoutInCell="1" allowOverlap="1" wp14:anchorId="52F39236" wp14:editId="653D06B2">
            <wp:simplePos x="0" y="0"/>
            <wp:positionH relativeFrom="column">
              <wp:posOffset>1019810</wp:posOffset>
            </wp:positionH>
            <wp:positionV relativeFrom="paragraph">
              <wp:posOffset>3810</wp:posOffset>
            </wp:positionV>
            <wp:extent cx="5283200" cy="6608445"/>
            <wp:effectExtent l="0" t="0" r="0" b="0"/>
            <wp:wrapTight wrapText="bothSides">
              <wp:wrapPolygon edited="0">
                <wp:start x="0" y="0"/>
                <wp:lineTo x="0" y="21544"/>
                <wp:lineTo x="21548" y="21544"/>
                <wp:lineTo x="21548" y="0"/>
                <wp:lineTo x="0" y="0"/>
              </wp:wrapPolygon>
            </wp:wrapTight>
            <wp:docPr id="35" name="Picture 3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 descr="Diagram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3200" cy="6608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81C36C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2330131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69C19169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1F45677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5A5ED98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998BC4E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37CDF3E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88D1E5E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8D2FBFA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1197B2A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996CFD4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69AFBC20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5D0F5BD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C700C89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19D9213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4F9C67B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D4045E3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5C5C9D6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FDD15AC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F9535F0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A42F27B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55D3EA9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539BB66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2D72860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334A911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646C1E1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638879E7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5B9705C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61819F1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5A805F2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9F8F520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EE088CB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6ECA81E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FFA4E9C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0A663A2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A48F0BA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B47F639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2BDBCB3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3FD109E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E736553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C02F885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3904D837" w14:textId="77777777" w:rsidR="007958F0" w:rsidRDefault="007958F0" w:rsidP="007958F0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  <w:r w:rsidRPr="001E6ECF">
        <w:rPr>
          <w:rFonts w:ascii="Arial" w:hAnsi="Arial" w:cs="Arial"/>
          <w:b/>
          <w:bCs/>
          <w:sz w:val="22"/>
          <w:szCs w:val="22"/>
          <w:lang w:val="en-US"/>
        </w:rPr>
        <w:t xml:space="preserve">S2 Figure. </w:t>
      </w:r>
      <w:r w:rsidRPr="00586FDB">
        <w:rPr>
          <w:rFonts w:ascii="Arial" w:hAnsi="Arial" w:cs="Arial"/>
          <w:b/>
          <w:bCs/>
          <w:sz w:val="22"/>
          <w:szCs w:val="22"/>
        </w:rPr>
        <w:t xml:space="preserve">Clinical status and vital signs kinetics in </w:t>
      </w:r>
      <w:r w:rsidRPr="00586FDB">
        <w:rPr>
          <w:rFonts w:ascii="Arial" w:hAnsi="Arial" w:cs="Arial"/>
          <w:b/>
          <w:bCs/>
          <w:sz w:val="22"/>
          <w:szCs w:val="22"/>
          <w:lang w:val="en-US"/>
        </w:rPr>
        <w:t>flavivirus-immune</w:t>
      </w:r>
      <w:r w:rsidRPr="00586FDB">
        <w:rPr>
          <w:rFonts w:ascii="Arial" w:hAnsi="Arial" w:cs="Arial"/>
          <w:b/>
          <w:bCs/>
          <w:sz w:val="22"/>
          <w:szCs w:val="22"/>
        </w:rPr>
        <w:t xml:space="preserve"> and naïve macaques</w:t>
      </w:r>
      <w:r w:rsidRPr="00586FDB">
        <w:rPr>
          <w:rFonts w:ascii="Arial" w:hAnsi="Arial" w:cs="Arial"/>
          <w:b/>
          <w:bCs/>
          <w:sz w:val="22"/>
          <w:szCs w:val="22"/>
          <w:lang w:val="en-US"/>
        </w:rPr>
        <w:t xml:space="preserve">. </w:t>
      </w:r>
      <w:r w:rsidRPr="00CC6018">
        <w:rPr>
          <w:rFonts w:ascii="Arial" w:hAnsi="Arial" w:cs="Arial"/>
          <w:color w:val="000000" w:themeColor="text1"/>
          <w:sz w:val="22"/>
          <w:szCs w:val="22"/>
          <w:lang w:val="en-US"/>
        </w:rPr>
        <w:t>Animals depleted of CD4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  <w:lang w:val="en-US"/>
        </w:rPr>
        <w:t>+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T cells</w:t>
      </w:r>
      <w:r w:rsidRPr="00CC6018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are shown in red (DENV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-</w:t>
      </w:r>
      <w:r w:rsidRPr="00CC6018">
        <w:rPr>
          <w:rFonts w:ascii="Arial" w:hAnsi="Arial" w:cs="Arial"/>
          <w:color w:val="000000" w:themeColor="text1"/>
          <w:sz w:val="22"/>
          <w:szCs w:val="22"/>
          <w:lang w:val="en-US"/>
        </w:rPr>
        <w:t>primed) and purple (ZIKV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-</w:t>
      </w:r>
      <w:r w:rsidRPr="00CC6018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primed), DENV and ZIKV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immune-competent</w:t>
      </w:r>
      <w:r w:rsidRPr="00CC6018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are shown in blue and green, and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flavivirus-</w:t>
      </w:r>
      <w:r w:rsidRPr="00CC6018">
        <w:rPr>
          <w:rFonts w:ascii="Arial" w:hAnsi="Arial" w:cs="Arial"/>
          <w:color w:val="000000" w:themeColor="text1"/>
          <w:sz w:val="22"/>
          <w:szCs w:val="22"/>
          <w:lang w:val="en-US"/>
        </w:rPr>
        <w:t>naïve animals are shown in black in all panels.</w:t>
      </w:r>
      <w:r>
        <w:rPr>
          <w:rFonts w:ascii="Arial" w:hAnsi="Arial" w:cs="Arial"/>
          <w:sz w:val="22"/>
          <w:szCs w:val="22"/>
          <w:lang w:val="en-US"/>
        </w:rPr>
        <w:t xml:space="preserve"> (A &amp; D) Average age of the animals used per infection sequence. </w:t>
      </w:r>
      <w:r w:rsidRPr="00586FDB">
        <w:rPr>
          <w:rFonts w:ascii="Arial" w:hAnsi="Arial" w:cs="Arial"/>
          <w:b/>
          <w:bCs/>
          <w:sz w:val="22"/>
          <w:szCs w:val="22"/>
          <w:lang w:val="en-US"/>
        </w:rPr>
        <w:t>(</w:t>
      </w:r>
      <w:r w:rsidRPr="00586FDB">
        <w:rPr>
          <w:rFonts w:ascii="Arial" w:hAnsi="Arial" w:cs="Arial"/>
          <w:sz w:val="22"/>
          <w:szCs w:val="22"/>
          <w:lang w:val="en-US"/>
        </w:rPr>
        <w:t xml:space="preserve">B &amp; E). </w:t>
      </w:r>
      <w:r w:rsidRPr="00586FDB">
        <w:rPr>
          <w:rFonts w:ascii="Arial" w:hAnsi="Arial" w:cs="Arial"/>
          <w:sz w:val="22"/>
          <w:szCs w:val="22"/>
        </w:rPr>
        <w:t xml:space="preserve">Weight (kg) was measured at baseline, 1, </w:t>
      </w:r>
      <w:r w:rsidRPr="00586FDB">
        <w:rPr>
          <w:rFonts w:ascii="Arial" w:hAnsi="Arial" w:cs="Arial"/>
          <w:sz w:val="22"/>
          <w:szCs w:val="22"/>
          <w:lang w:val="en-US"/>
        </w:rPr>
        <w:t>2,</w:t>
      </w:r>
      <w:r w:rsidRPr="00586FDB">
        <w:rPr>
          <w:rFonts w:ascii="Arial" w:hAnsi="Arial" w:cs="Arial"/>
          <w:sz w:val="22"/>
          <w:szCs w:val="22"/>
        </w:rPr>
        <w:t xml:space="preserve"> 5, 7, </w:t>
      </w:r>
      <w:r w:rsidRPr="00586FDB">
        <w:rPr>
          <w:rFonts w:ascii="Arial" w:hAnsi="Arial" w:cs="Arial"/>
          <w:sz w:val="22"/>
          <w:szCs w:val="22"/>
          <w:lang w:val="en-US"/>
        </w:rPr>
        <w:t>10</w:t>
      </w:r>
      <w:r w:rsidRPr="00586FDB">
        <w:rPr>
          <w:rFonts w:ascii="Arial" w:hAnsi="Arial" w:cs="Arial"/>
          <w:sz w:val="22"/>
          <w:szCs w:val="22"/>
        </w:rPr>
        <w:t>, 1</w:t>
      </w:r>
      <w:r w:rsidRPr="00586FDB">
        <w:rPr>
          <w:rFonts w:ascii="Arial" w:hAnsi="Arial" w:cs="Arial"/>
          <w:sz w:val="22"/>
          <w:szCs w:val="22"/>
          <w:lang w:val="en-US"/>
        </w:rPr>
        <w:t>2</w:t>
      </w:r>
      <w:r w:rsidRPr="00586FDB">
        <w:rPr>
          <w:rFonts w:ascii="Arial" w:hAnsi="Arial" w:cs="Arial"/>
          <w:sz w:val="22"/>
          <w:szCs w:val="22"/>
        </w:rPr>
        <w:t xml:space="preserve">, and </w:t>
      </w:r>
      <w:r w:rsidRPr="00586FDB">
        <w:rPr>
          <w:rFonts w:ascii="Arial" w:hAnsi="Arial" w:cs="Arial"/>
          <w:sz w:val="22"/>
          <w:szCs w:val="22"/>
          <w:lang w:val="en-US"/>
        </w:rPr>
        <w:t>15</w:t>
      </w:r>
      <w:r w:rsidRPr="00586FDB">
        <w:rPr>
          <w:rFonts w:ascii="Arial" w:hAnsi="Arial" w:cs="Arial"/>
          <w:sz w:val="22"/>
          <w:szCs w:val="22"/>
        </w:rPr>
        <w:t xml:space="preserve"> pi. (</w:t>
      </w:r>
      <w:r w:rsidRPr="00586FDB">
        <w:rPr>
          <w:rFonts w:ascii="Arial" w:hAnsi="Arial" w:cs="Arial"/>
          <w:sz w:val="22"/>
          <w:szCs w:val="22"/>
          <w:lang w:val="en-US"/>
        </w:rPr>
        <w:t>C &amp;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586FDB">
        <w:rPr>
          <w:rFonts w:ascii="Arial" w:hAnsi="Arial" w:cs="Arial"/>
          <w:sz w:val="22"/>
          <w:szCs w:val="22"/>
          <w:lang w:val="en-US"/>
        </w:rPr>
        <w:t>F</w:t>
      </w:r>
      <w:r w:rsidRPr="00586FDB">
        <w:rPr>
          <w:rFonts w:ascii="Arial" w:hAnsi="Arial" w:cs="Arial"/>
          <w:sz w:val="22"/>
          <w:szCs w:val="22"/>
        </w:rPr>
        <w:t xml:space="preserve">) </w:t>
      </w:r>
      <w:r w:rsidRPr="00586FDB">
        <w:rPr>
          <w:rFonts w:ascii="Arial" w:hAnsi="Arial" w:cs="Arial"/>
          <w:sz w:val="22"/>
          <w:szCs w:val="22"/>
          <w:lang w:val="en-US"/>
        </w:rPr>
        <w:t>Rectal t</w:t>
      </w:r>
      <w:r w:rsidRPr="00586FDB">
        <w:rPr>
          <w:rFonts w:ascii="Arial" w:hAnsi="Arial" w:cs="Arial"/>
          <w:sz w:val="22"/>
          <w:szCs w:val="22"/>
        </w:rPr>
        <w:t>emperature (°C) was monitored at baseline,</w:t>
      </w:r>
      <w:r>
        <w:rPr>
          <w:rFonts w:ascii="Arial" w:hAnsi="Arial" w:cs="Arial"/>
          <w:sz w:val="22"/>
          <w:szCs w:val="22"/>
          <w:lang w:val="en-US"/>
        </w:rPr>
        <w:t>1</w:t>
      </w:r>
      <w:r w:rsidRPr="00586FDB">
        <w:rPr>
          <w:rFonts w:ascii="Arial" w:hAnsi="Arial" w:cs="Arial"/>
          <w:sz w:val="22"/>
          <w:szCs w:val="22"/>
        </w:rPr>
        <w:t xml:space="preserve">, </w:t>
      </w:r>
      <w:r w:rsidRPr="00586FDB">
        <w:rPr>
          <w:rFonts w:ascii="Arial" w:hAnsi="Arial" w:cs="Arial"/>
          <w:sz w:val="22"/>
          <w:szCs w:val="22"/>
          <w:lang w:val="en-US"/>
        </w:rPr>
        <w:t>2,</w:t>
      </w:r>
      <w:r w:rsidRPr="00586FDB">
        <w:rPr>
          <w:rFonts w:ascii="Arial" w:hAnsi="Arial" w:cs="Arial"/>
          <w:sz w:val="22"/>
          <w:szCs w:val="22"/>
        </w:rPr>
        <w:t xml:space="preserve"> 5, 7, </w:t>
      </w:r>
      <w:r w:rsidRPr="00586FDB">
        <w:rPr>
          <w:rFonts w:ascii="Arial" w:hAnsi="Arial" w:cs="Arial"/>
          <w:sz w:val="22"/>
          <w:szCs w:val="22"/>
          <w:lang w:val="en-US"/>
        </w:rPr>
        <w:t>10</w:t>
      </w:r>
      <w:r w:rsidRPr="00586FDB">
        <w:rPr>
          <w:rFonts w:ascii="Arial" w:hAnsi="Arial" w:cs="Arial"/>
          <w:sz w:val="22"/>
          <w:szCs w:val="22"/>
        </w:rPr>
        <w:t>, 1</w:t>
      </w:r>
      <w:r w:rsidRPr="00586FDB">
        <w:rPr>
          <w:rFonts w:ascii="Arial" w:hAnsi="Arial" w:cs="Arial"/>
          <w:sz w:val="22"/>
          <w:szCs w:val="22"/>
          <w:lang w:val="en-US"/>
        </w:rPr>
        <w:t>2</w:t>
      </w:r>
      <w:r w:rsidRPr="00586FDB">
        <w:rPr>
          <w:rFonts w:ascii="Arial" w:hAnsi="Arial" w:cs="Arial"/>
          <w:sz w:val="22"/>
          <w:szCs w:val="22"/>
        </w:rPr>
        <w:t xml:space="preserve">, and </w:t>
      </w:r>
      <w:r w:rsidRPr="00586FDB">
        <w:rPr>
          <w:rFonts w:ascii="Arial" w:hAnsi="Arial" w:cs="Arial"/>
          <w:sz w:val="22"/>
          <w:szCs w:val="22"/>
          <w:lang w:val="en-US"/>
        </w:rPr>
        <w:t>15</w:t>
      </w:r>
      <w:r w:rsidRPr="00586FDB">
        <w:rPr>
          <w:rFonts w:ascii="Arial" w:hAnsi="Arial" w:cs="Arial"/>
          <w:sz w:val="22"/>
          <w:szCs w:val="22"/>
        </w:rPr>
        <w:t xml:space="preserve"> pi. 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586FDB">
        <w:rPr>
          <w:rFonts w:ascii="Arial" w:hAnsi="Arial" w:cs="Arial"/>
          <w:sz w:val="22"/>
          <w:szCs w:val="22"/>
        </w:rPr>
        <w:t xml:space="preserve">Comprehensive metabolic panel (CMP) was performed to assess levels (U/L) of </w:t>
      </w:r>
      <w:r w:rsidRPr="00FF330B">
        <w:rPr>
          <w:rFonts w:ascii="Arial" w:hAnsi="Arial" w:cs="Arial"/>
          <w:sz w:val="22"/>
          <w:szCs w:val="22"/>
        </w:rPr>
        <w:t>liver enzymes (</w:t>
      </w:r>
      <w:r>
        <w:rPr>
          <w:rFonts w:ascii="Arial" w:hAnsi="Arial" w:cs="Arial"/>
          <w:sz w:val="22"/>
          <w:szCs w:val="22"/>
          <w:lang w:val="en-US"/>
        </w:rPr>
        <w:t>J &amp; M</w:t>
      </w:r>
      <w:r w:rsidRPr="00FF330B">
        <w:rPr>
          <w:rFonts w:ascii="Arial" w:hAnsi="Arial" w:cs="Arial"/>
          <w:sz w:val="22"/>
          <w:szCs w:val="22"/>
        </w:rPr>
        <w:t>) aspartate transaminase (AST), and (</w:t>
      </w:r>
      <w:r>
        <w:rPr>
          <w:rFonts w:ascii="Arial" w:hAnsi="Arial" w:cs="Arial"/>
          <w:sz w:val="22"/>
          <w:szCs w:val="22"/>
          <w:lang w:val="en-US"/>
        </w:rPr>
        <w:t>K &amp; N</w:t>
      </w:r>
      <w:r w:rsidRPr="00FF330B">
        <w:rPr>
          <w:rFonts w:ascii="Arial" w:hAnsi="Arial" w:cs="Arial"/>
          <w:sz w:val="22"/>
          <w:szCs w:val="22"/>
        </w:rPr>
        <w:t>) alanine transaminase (ALT)</w:t>
      </w:r>
      <w:r>
        <w:rPr>
          <w:rFonts w:ascii="Arial" w:hAnsi="Arial" w:cs="Arial"/>
          <w:sz w:val="22"/>
          <w:szCs w:val="22"/>
          <w:lang w:val="en-US"/>
        </w:rPr>
        <w:t>,</w:t>
      </w:r>
      <w:r w:rsidRPr="00FF330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 xml:space="preserve">and </w:t>
      </w:r>
      <w:r w:rsidRPr="00FF330B">
        <w:rPr>
          <w:rFonts w:ascii="Arial" w:hAnsi="Arial" w:cs="Arial"/>
          <w:sz w:val="22"/>
          <w:szCs w:val="22"/>
        </w:rPr>
        <w:t>(</w:t>
      </w:r>
      <w:r>
        <w:rPr>
          <w:rFonts w:ascii="Arial" w:hAnsi="Arial" w:cs="Arial"/>
          <w:sz w:val="22"/>
          <w:szCs w:val="22"/>
          <w:lang w:val="en-US"/>
        </w:rPr>
        <w:t>L &amp; O</w:t>
      </w:r>
      <w:r w:rsidRPr="00FF330B">
        <w:rPr>
          <w:rFonts w:ascii="Arial" w:hAnsi="Arial" w:cs="Arial"/>
          <w:sz w:val="22"/>
          <w:szCs w:val="22"/>
        </w:rPr>
        <w:t>) alkaline phosphatase (ALK P</w:t>
      </w:r>
      <w:proofErr w:type="spellStart"/>
      <w:r>
        <w:rPr>
          <w:rFonts w:ascii="Arial" w:hAnsi="Arial" w:cs="Arial"/>
          <w:sz w:val="22"/>
          <w:szCs w:val="22"/>
          <w:lang w:val="en-US"/>
        </w:rPr>
        <w:t>hosphatase</w:t>
      </w:r>
      <w:proofErr w:type="spellEnd"/>
      <w:r w:rsidRPr="00FF330B">
        <w:rPr>
          <w:rFonts w:ascii="Arial" w:hAnsi="Arial" w:cs="Arial"/>
          <w:sz w:val="22"/>
          <w:szCs w:val="22"/>
        </w:rPr>
        <w:t xml:space="preserve">) at baseline, </w:t>
      </w:r>
      <w:r>
        <w:rPr>
          <w:rFonts w:ascii="Arial" w:hAnsi="Arial" w:cs="Arial"/>
          <w:sz w:val="22"/>
          <w:szCs w:val="22"/>
          <w:lang w:val="en-US"/>
        </w:rPr>
        <w:t xml:space="preserve">2, 5, </w:t>
      </w:r>
      <w:r w:rsidRPr="00FF330B">
        <w:rPr>
          <w:rFonts w:ascii="Arial" w:hAnsi="Arial" w:cs="Arial"/>
          <w:sz w:val="22"/>
          <w:szCs w:val="22"/>
        </w:rPr>
        <w:t>7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FF330B">
        <w:rPr>
          <w:rFonts w:ascii="Arial" w:hAnsi="Arial" w:cs="Arial"/>
          <w:sz w:val="22"/>
          <w:szCs w:val="22"/>
        </w:rPr>
        <w:t>and 30 pi.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FF330B">
        <w:rPr>
          <w:rFonts w:ascii="Arial" w:hAnsi="Arial" w:cs="Arial"/>
          <w:sz w:val="22"/>
          <w:szCs w:val="22"/>
        </w:rPr>
        <w:t>Normal range of AST</w:t>
      </w:r>
      <w:r>
        <w:rPr>
          <w:rFonts w:ascii="Arial" w:hAnsi="Arial" w:cs="Arial"/>
          <w:sz w:val="22"/>
          <w:szCs w:val="22"/>
          <w:lang w:val="en-US"/>
        </w:rPr>
        <w:t xml:space="preserve">, </w:t>
      </w:r>
      <w:r w:rsidRPr="00FF330B">
        <w:rPr>
          <w:rFonts w:ascii="Arial" w:hAnsi="Arial" w:cs="Arial"/>
          <w:sz w:val="22"/>
          <w:szCs w:val="22"/>
        </w:rPr>
        <w:t>ALT</w:t>
      </w:r>
      <w:r>
        <w:rPr>
          <w:rFonts w:ascii="Arial" w:hAnsi="Arial" w:cs="Arial"/>
          <w:sz w:val="22"/>
          <w:szCs w:val="22"/>
          <w:lang w:val="en-US"/>
        </w:rPr>
        <w:t>,</w:t>
      </w:r>
      <w:r w:rsidRPr="00FF330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 xml:space="preserve">and ALK Phosphatase </w:t>
      </w:r>
      <w:r w:rsidRPr="00FF330B">
        <w:rPr>
          <w:rFonts w:ascii="Arial" w:hAnsi="Arial" w:cs="Arial"/>
          <w:sz w:val="22"/>
          <w:szCs w:val="22"/>
        </w:rPr>
        <w:t>are depicted for reference.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586FDB">
        <w:rPr>
          <w:rFonts w:ascii="Arial" w:hAnsi="Arial" w:cs="Arial"/>
          <w:sz w:val="22"/>
          <w:szCs w:val="22"/>
        </w:rPr>
        <w:t>Statistically significant differences between groups were determined using Two-Way Anova adjusted for Tukey’s multiple comparisons test</w:t>
      </w:r>
      <w:r>
        <w:rPr>
          <w:rFonts w:ascii="Arial" w:hAnsi="Arial" w:cs="Arial"/>
          <w:sz w:val="22"/>
          <w:szCs w:val="22"/>
          <w:lang w:val="en-US"/>
        </w:rPr>
        <w:t xml:space="preserve">. </w:t>
      </w:r>
    </w:p>
    <w:p w14:paraId="09E77DEA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  <w:r>
        <w:rPr>
          <w:rFonts w:ascii="Arial" w:hAnsi="Arial" w:cs="Arial"/>
          <w:b/>
          <w:bCs/>
          <w:noProof/>
          <w:color w:val="000000" w:themeColor="text1"/>
          <w:sz w:val="22"/>
          <w:szCs w:val="22"/>
          <w:lang w:val="en-US"/>
        </w:rPr>
        <w:lastRenderedPageBreak/>
        <w:drawing>
          <wp:anchor distT="0" distB="0" distL="114300" distR="114300" simplePos="0" relativeHeight="251667456" behindDoc="1" locked="0" layoutInCell="1" allowOverlap="1" wp14:anchorId="7136B5C6" wp14:editId="5AE86856">
            <wp:simplePos x="0" y="0"/>
            <wp:positionH relativeFrom="column">
              <wp:posOffset>1824550</wp:posOffset>
            </wp:positionH>
            <wp:positionV relativeFrom="paragraph">
              <wp:posOffset>342</wp:posOffset>
            </wp:positionV>
            <wp:extent cx="4095115" cy="6781165"/>
            <wp:effectExtent l="0" t="0" r="0" b="635"/>
            <wp:wrapTight wrapText="bothSides">
              <wp:wrapPolygon edited="0">
                <wp:start x="0" y="0"/>
                <wp:lineTo x="0" y="21562"/>
                <wp:lineTo x="21503" y="21562"/>
                <wp:lineTo x="21503" y="0"/>
                <wp:lineTo x="0" y="0"/>
              </wp:wrapPolygon>
            </wp:wrapTight>
            <wp:docPr id="30" name="Picture 30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Diagram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5115" cy="6781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D63BDF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5C3A6E4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DE63A3E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45525F4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19DDBC8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0054ED6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6AE5703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94CDDE4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4E93876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227EF65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117B815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5FDAE8F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01E6EE1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A9079CA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39D223D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E372859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5139BEC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C51926A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06AB2B8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856F7E4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B709E67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A798E36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451A1AF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6AB477FC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86BEE57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FA359BE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8B6BB92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54698F2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0664BA4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F70903F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6C5A872B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680064FE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22F6586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F56AC2F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B184D21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E53E4D2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37E3378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B893AA5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A9B7A52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9B08656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41E7678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FB3C2A4" w14:textId="77777777" w:rsidR="007958F0" w:rsidRDefault="007958F0" w:rsidP="007958F0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0E3F00BF" w14:textId="77777777" w:rsidR="007958F0" w:rsidRPr="00152273" w:rsidRDefault="007958F0" w:rsidP="007958F0">
      <w:pPr>
        <w:spacing w:line="36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  <w:r w:rsidRPr="00F40510">
        <w:rPr>
          <w:rFonts w:ascii="Arial" w:hAnsi="Arial" w:cs="Arial"/>
          <w:b/>
          <w:bCs/>
          <w:sz w:val="22"/>
          <w:szCs w:val="22"/>
          <w:lang w:val="en-US"/>
        </w:rPr>
        <w:t>S</w:t>
      </w:r>
      <w:r>
        <w:rPr>
          <w:rFonts w:ascii="Arial" w:hAnsi="Arial" w:cs="Arial"/>
          <w:b/>
          <w:bCs/>
          <w:sz w:val="22"/>
          <w:szCs w:val="22"/>
          <w:lang w:val="en-US"/>
        </w:rPr>
        <w:t>3</w:t>
      </w:r>
      <w:r w:rsidRPr="00F40510">
        <w:rPr>
          <w:rFonts w:ascii="Arial" w:hAnsi="Arial" w:cs="Arial"/>
          <w:b/>
          <w:bCs/>
          <w:sz w:val="22"/>
          <w:szCs w:val="22"/>
          <w:lang w:val="en-US"/>
        </w:rPr>
        <w:t xml:space="preserve"> Figure</w:t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. </w:t>
      </w:r>
      <w:r w:rsidRPr="00F40510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Depletion of immune cell subsets modifies the serological profile during heterologous infections</w:t>
      </w:r>
      <w: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in DENV-primed individuals</w:t>
      </w:r>
      <w:r w:rsidRPr="00F40510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.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The quantity</w:t>
      </w:r>
      <w:r w:rsidRPr="00F40510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of the humoral response was assessed using different commercial ELISA tests (A-H).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(B, D, F &amp; H) </w:t>
      </w:r>
      <w:r w:rsidRPr="002F4CE6">
        <w:rPr>
          <w:rFonts w:ascii="Arial" w:hAnsi="Arial" w:cs="Arial"/>
          <w:color w:val="000000" w:themeColor="text1"/>
          <w:sz w:val="22"/>
          <w:szCs w:val="22"/>
          <w:lang w:val="en-US"/>
        </w:rPr>
        <w:t>Pool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of OD readings for t</w:t>
      </w:r>
      <w:r w:rsidRPr="00F40510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otal antibody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production </w:t>
      </w:r>
      <w:r w:rsidRPr="00F40510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against DENV from animals depleted and non-depleted with different DENV infecting sequences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is</w:t>
      </w:r>
      <w:r w:rsidRPr="00F40510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shown. Animals depleted of CD4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  <w:lang w:val="en-US"/>
        </w:rPr>
        <w:t>+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T cells</w:t>
      </w:r>
      <w:r w:rsidRPr="00F40510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are shown in red,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DENV/ZIKV immune-competent </w:t>
      </w:r>
      <w:r w:rsidRPr="00F40510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animals are shown in blue and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flavivirus-</w:t>
      </w:r>
      <w:r w:rsidRPr="00F40510">
        <w:rPr>
          <w:rFonts w:ascii="Arial" w:hAnsi="Arial" w:cs="Arial"/>
          <w:color w:val="000000" w:themeColor="text1"/>
          <w:sz w:val="22"/>
          <w:szCs w:val="22"/>
          <w:lang w:val="en-US"/>
        </w:rPr>
        <w:t>naïve animals are shown in black in all panels. Dotted lines indicate the limit of detecti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on</w:t>
      </w:r>
      <w:r w:rsidRPr="00F40510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for each test. Statistically significant differences among and within groups were calculated </w:t>
      </w:r>
      <w:r w:rsidRPr="00F40510">
        <w:rPr>
          <w:rFonts w:ascii="Arial" w:hAnsi="Arial" w:cs="Arial"/>
          <w:color w:val="000000" w:themeColor="text1"/>
          <w:sz w:val="22"/>
          <w:szCs w:val="22"/>
        </w:rPr>
        <w:t xml:space="preserve">using </w:t>
      </w:r>
      <w:r>
        <w:rPr>
          <w:rFonts w:ascii="Arial" w:hAnsi="Arial" w:cs="Arial"/>
          <w:color w:val="000000" w:themeColor="text1"/>
          <w:sz w:val="22"/>
          <w:szCs w:val="22"/>
        </w:rPr>
        <w:t>Tukey's</w:t>
      </w:r>
      <w:r w:rsidRPr="00F40510">
        <w:rPr>
          <w:rFonts w:ascii="Arial" w:hAnsi="Arial" w:cs="Arial"/>
          <w:color w:val="000000" w:themeColor="text1"/>
          <w:sz w:val="22"/>
          <w:szCs w:val="22"/>
        </w:rPr>
        <w:t xml:space="preserve"> multiple comparisons </w:t>
      </w:r>
      <w:r>
        <w:rPr>
          <w:rFonts w:ascii="Arial" w:hAnsi="Arial" w:cs="Arial"/>
          <w:color w:val="000000" w:themeColor="text1"/>
          <w:sz w:val="22"/>
          <w:szCs w:val="22"/>
        </w:rPr>
        <w:t>tests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</w:t>
      </w:r>
      <w:r>
        <w:rPr>
          <w:rFonts w:ascii="Arial" w:hAnsi="Arial" w:cs="Arial"/>
          <w:color w:val="202020"/>
          <w:sz w:val="22"/>
          <w:szCs w:val="22"/>
          <w:lang w:val="en-US"/>
        </w:rPr>
        <w:t>and</w:t>
      </w:r>
      <w:r>
        <w:rPr>
          <w:rFonts w:ascii="Arial" w:hAnsi="Arial" w:cs="Arial"/>
          <w:color w:val="202020"/>
          <w:sz w:val="22"/>
          <w:szCs w:val="22"/>
        </w:rPr>
        <w:t xml:space="preserve"> unpaired</w:t>
      </w:r>
      <w:r w:rsidRPr="006B0193">
        <w:rPr>
          <w:rFonts w:ascii="Arial" w:hAnsi="Arial" w:cs="Arial"/>
          <w:color w:val="202020"/>
          <w:sz w:val="22"/>
          <w:szCs w:val="22"/>
        </w:rPr>
        <w:t xml:space="preserve"> </w:t>
      </w:r>
      <w:r>
        <w:rPr>
          <w:rFonts w:ascii="Arial" w:hAnsi="Arial" w:cs="Arial"/>
          <w:color w:val="202020"/>
          <w:sz w:val="22"/>
          <w:szCs w:val="22"/>
        </w:rPr>
        <w:t>t-tests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. </w:t>
      </w:r>
    </w:p>
    <w:p w14:paraId="220C59D5" w14:textId="77777777" w:rsidR="007958F0" w:rsidRDefault="007958F0" w:rsidP="007958F0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4EDF0DEE" w14:textId="77777777" w:rsidR="007958F0" w:rsidRDefault="007958F0" w:rsidP="007958F0">
      <w:pPr>
        <w:jc w:val="both"/>
        <w:rPr>
          <w:rFonts w:ascii="Arial" w:hAnsi="Arial" w:cs="Arial"/>
          <w:b/>
          <w:bCs/>
          <w:lang w:val="en-US"/>
        </w:rPr>
      </w:pPr>
    </w:p>
    <w:p w14:paraId="5E263D39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C07A4C5" w14:textId="77777777" w:rsidR="007958F0" w:rsidRDefault="007958F0" w:rsidP="007958F0">
      <w:pPr>
        <w:jc w:val="both"/>
        <w:rPr>
          <w:rFonts w:ascii="Arial" w:hAnsi="Arial" w:cs="Arial"/>
          <w:b/>
          <w:bCs/>
          <w:lang w:val="en-US"/>
        </w:rPr>
      </w:pPr>
    </w:p>
    <w:p w14:paraId="4C491D71" w14:textId="77777777" w:rsidR="007958F0" w:rsidRDefault="007958F0" w:rsidP="007958F0">
      <w:pPr>
        <w:jc w:val="both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lastRenderedPageBreak/>
        <w:drawing>
          <wp:inline distT="0" distB="0" distL="0" distR="0" wp14:anchorId="20F78B61" wp14:editId="53AABD70">
            <wp:extent cx="6858000" cy="3429000"/>
            <wp:effectExtent l="0" t="0" r="0" b="0"/>
            <wp:docPr id="16" name="Picture 16" descr="Chart, diagram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Chart, diagram, line 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B45E7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61B57E31" w14:textId="77777777" w:rsidR="007958F0" w:rsidRPr="00586FDB" w:rsidRDefault="007958F0" w:rsidP="007958F0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  <w:r w:rsidRPr="00E479F7">
        <w:rPr>
          <w:rFonts w:ascii="Arial" w:hAnsi="Arial" w:cs="Arial"/>
          <w:b/>
          <w:bCs/>
          <w:sz w:val="22"/>
          <w:szCs w:val="22"/>
          <w:lang w:val="en-US"/>
        </w:rPr>
        <w:t>S</w:t>
      </w:r>
      <w:r>
        <w:rPr>
          <w:rFonts w:ascii="Arial" w:hAnsi="Arial" w:cs="Arial"/>
          <w:b/>
          <w:bCs/>
          <w:sz w:val="22"/>
          <w:szCs w:val="22"/>
          <w:lang w:val="en-US"/>
        </w:rPr>
        <w:t>4</w:t>
      </w:r>
      <w:r w:rsidRPr="00E479F7">
        <w:rPr>
          <w:rFonts w:ascii="Arial" w:hAnsi="Arial" w:cs="Arial"/>
          <w:b/>
          <w:bCs/>
          <w:sz w:val="22"/>
          <w:szCs w:val="22"/>
          <w:lang w:val="en-US"/>
        </w:rPr>
        <w:t xml:space="preserve"> Figure. Geometric mean titers of DENV </w:t>
      </w:r>
      <w:r w:rsidRPr="00E479F7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neutralizing antibodies. </w:t>
      </w:r>
      <w:r w:rsidRPr="00E479F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Dilution titers against DENV2 or DENV-4 during days 0, 15, 30 &amp; 60 post-infection </w:t>
      </w:r>
      <w:r w:rsidRPr="0050040C">
        <w:rPr>
          <w:rFonts w:ascii="Arial" w:hAnsi="Arial" w:cs="Arial"/>
          <w:color w:val="000000" w:themeColor="text1"/>
          <w:sz w:val="22"/>
          <w:szCs w:val="22"/>
          <w:lang w:val="en-US"/>
        </w:rPr>
        <w:t>(A &amp; B).</w:t>
      </w:r>
      <w:r w:rsidRPr="00E479F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Animals depleted of CD4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  <w:lang w:val="en-US"/>
        </w:rPr>
        <w:t>+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T cells</w:t>
      </w:r>
      <w:r w:rsidRPr="00E479F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are shown in red, DENV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/ZIKV immune-competent</w:t>
      </w:r>
      <w:r w:rsidRPr="00E479F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animals are shown in blue and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flavivirus-</w:t>
      </w:r>
      <w:r w:rsidRPr="00E479F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naïve animals are shown in black in all panels. The dotted line indicates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60% of neutralization.</w:t>
      </w:r>
      <w:r>
        <w:rPr>
          <w:rFonts w:ascii="Arial" w:hAnsi="Arial" w:cs="Arial"/>
          <w:color w:val="202020"/>
          <w:sz w:val="22"/>
          <w:szCs w:val="22"/>
          <w:lang w:val="en-US"/>
        </w:rPr>
        <w:t xml:space="preserve"> </w:t>
      </w:r>
      <w:r w:rsidRPr="00E479F7">
        <w:rPr>
          <w:rFonts w:ascii="Arial" w:hAnsi="Arial" w:cs="Arial"/>
          <w:color w:val="202020"/>
          <w:sz w:val="22"/>
          <w:szCs w:val="22"/>
        </w:rPr>
        <w:t>Non-neutralizing sera were assigned a value of one-half of the detection limit for</w:t>
      </w:r>
      <w:r w:rsidRPr="00E479F7">
        <w:rPr>
          <w:rFonts w:ascii="Arial" w:hAnsi="Arial" w:cs="Arial"/>
          <w:color w:val="202020"/>
          <w:sz w:val="22"/>
          <w:szCs w:val="22"/>
          <w:lang w:val="en-US"/>
        </w:rPr>
        <w:t xml:space="preserve"> </w:t>
      </w:r>
      <w:r w:rsidRPr="00E479F7">
        <w:rPr>
          <w:rFonts w:ascii="Arial" w:hAnsi="Arial" w:cs="Arial"/>
          <w:color w:val="202020"/>
          <w:sz w:val="22"/>
          <w:szCs w:val="22"/>
        </w:rPr>
        <w:t>visualization and calculation of the geometric means and confidence intervals.</w:t>
      </w:r>
      <w:r w:rsidRPr="00E479F7">
        <w:rPr>
          <w:rFonts w:ascii="Arial" w:hAnsi="Arial" w:cs="Arial"/>
          <w:color w:val="202020"/>
          <w:sz w:val="22"/>
          <w:szCs w:val="22"/>
          <w:lang w:val="en-US"/>
        </w:rPr>
        <w:t xml:space="preserve"> </w:t>
      </w:r>
      <w:r w:rsidRPr="00E479F7">
        <w:rPr>
          <w:rFonts w:ascii="Arial" w:hAnsi="Arial" w:cs="Arial"/>
          <w:color w:val="202020"/>
          <w:sz w:val="22"/>
          <w:szCs w:val="22"/>
        </w:rPr>
        <w:t xml:space="preserve">Statistically significant differences among groups </w:t>
      </w:r>
      <w:r w:rsidRPr="00FF330B">
        <w:rPr>
          <w:rFonts w:ascii="Arial" w:hAnsi="Arial" w:cs="Arial"/>
          <w:sz w:val="22"/>
          <w:szCs w:val="22"/>
        </w:rPr>
        <w:t>are reported as multiplicity adjusted p values</w:t>
      </w:r>
      <w:r w:rsidRPr="00E479F7">
        <w:rPr>
          <w:rFonts w:ascii="Arial" w:hAnsi="Arial" w:cs="Arial"/>
          <w:color w:val="202020"/>
          <w:sz w:val="22"/>
          <w:szCs w:val="22"/>
        </w:rPr>
        <w:t xml:space="preserve"> calculated by two-way ANOVA using </w:t>
      </w:r>
      <w:r>
        <w:rPr>
          <w:rFonts w:ascii="Arial" w:hAnsi="Arial" w:cs="Arial"/>
          <w:color w:val="202020"/>
          <w:sz w:val="22"/>
          <w:szCs w:val="22"/>
        </w:rPr>
        <w:t>Tukey's</w:t>
      </w:r>
      <w:r w:rsidRPr="00E479F7">
        <w:rPr>
          <w:rFonts w:ascii="Arial" w:hAnsi="Arial" w:cs="Arial"/>
          <w:color w:val="202020"/>
          <w:sz w:val="22"/>
          <w:szCs w:val="22"/>
        </w:rPr>
        <w:t xml:space="preserve"> multiple comparisons tests</w:t>
      </w:r>
      <w:r>
        <w:rPr>
          <w:rFonts w:ascii="Arial" w:hAnsi="Arial" w:cs="Arial"/>
          <w:color w:val="202020"/>
          <w:sz w:val="22"/>
          <w:szCs w:val="22"/>
          <w:lang w:val="en-US"/>
        </w:rPr>
        <w:t>.</w:t>
      </w:r>
    </w:p>
    <w:p w14:paraId="0AB6FE63" w14:textId="77777777" w:rsidR="007958F0" w:rsidRPr="00E479F7" w:rsidRDefault="007958F0" w:rsidP="007958F0">
      <w:pPr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2949D49D" w14:textId="77777777" w:rsidR="007958F0" w:rsidRPr="00E479F7" w:rsidRDefault="007958F0" w:rsidP="007958F0">
      <w:pPr>
        <w:spacing w:line="480" w:lineRule="auto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06E4ACD" w14:textId="77777777" w:rsidR="007958F0" w:rsidRPr="00E479F7" w:rsidRDefault="007958F0" w:rsidP="007958F0">
      <w:pPr>
        <w:spacing w:line="480" w:lineRule="auto"/>
        <w:rPr>
          <w:rFonts w:ascii="Arial" w:hAnsi="Arial" w:cs="Arial"/>
          <w:color w:val="202020"/>
          <w:sz w:val="22"/>
          <w:szCs w:val="22"/>
          <w:lang w:val="en-US"/>
        </w:rPr>
      </w:pPr>
    </w:p>
    <w:p w14:paraId="7238640D" w14:textId="77777777" w:rsidR="007958F0" w:rsidRPr="00E479F7" w:rsidRDefault="007958F0" w:rsidP="007958F0">
      <w:pPr>
        <w:spacing w:line="480" w:lineRule="auto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8632ECC" w14:textId="77777777" w:rsidR="007958F0" w:rsidRDefault="007958F0" w:rsidP="007958F0">
      <w:pPr>
        <w:spacing w:line="480" w:lineRule="auto"/>
        <w:rPr>
          <w:rFonts w:ascii="Arial" w:hAnsi="Arial" w:cs="Arial"/>
          <w:color w:val="202020"/>
          <w:sz w:val="22"/>
          <w:szCs w:val="22"/>
          <w:lang w:val="en-US"/>
        </w:rPr>
      </w:pPr>
    </w:p>
    <w:p w14:paraId="10072D7E" w14:textId="77777777" w:rsidR="007958F0" w:rsidRDefault="007958F0" w:rsidP="007958F0">
      <w:pPr>
        <w:spacing w:line="480" w:lineRule="auto"/>
        <w:rPr>
          <w:rFonts w:ascii="Arial" w:hAnsi="Arial" w:cs="Arial"/>
          <w:color w:val="202020"/>
          <w:sz w:val="22"/>
          <w:szCs w:val="22"/>
          <w:lang w:val="en-US"/>
        </w:rPr>
      </w:pPr>
    </w:p>
    <w:p w14:paraId="7E68E51B" w14:textId="77777777" w:rsidR="007958F0" w:rsidRDefault="007958F0" w:rsidP="007958F0">
      <w:pPr>
        <w:jc w:val="both"/>
        <w:rPr>
          <w:rFonts w:ascii="Arial" w:hAnsi="Arial" w:cs="Arial"/>
          <w:b/>
          <w:bCs/>
          <w:lang w:val="en-US"/>
        </w:rPr>
      </w:pPr>
    </w:p>
    <w:p w14:paraId="192A2EB4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024E6678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14BDAA1E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4B33EDEF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223BBAAD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687531F2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730A0C78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638D4596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3DB37E35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  <w:r>
        <w:rPr>
          <w:rFonts w:ascii="Arial" w:hAnsi="Arial" w:cs="Arial"/>
          <w:b/>
          <w:bCs/>
          <w:noProof/>
          <w:sz w:val="22"/>
          <w:szCs w:val="22"/>
          <w:lang w:val="en-US"/>
        </w:rPr>
        <w:lastRenderedPageBreak/>
        <w:drawing>
          <wp:anchor distT="0" distB="0" distL="114300" distR="114300" simplePos="0" relativeHeight="251666432" behindDoc="1" locked="0" layoutInCell="1" allowOverlap="1" wp14:anchorId="58324A2D" wp14:editId="1C548E0C">
            <wp:simplePos x="0" y="0"/>
            <wp:positionH relativeFrom="column">
              <wp:posOffset>918210</wp:posOffset>
            </wp:positionH>
            <wp:positionV relativeFrom="paragraph">
              <wp:posOffset>3810</wp:posOffset>
            </wp:positionV>
            <wp:extent cx="5494020" cy="6655435"/>
            <wp:effectExtent l="0" t="0" r="5080" b="0"/>
            <wp:wrapTight wrapText="bothSides">
              <wp:wrapPolygon edited="0">
                <wp:start x="0" y="0"/>
                <wp:lineTo x="0" y="21557"/>
                <wp:lineTo x="21570" y="21557"/>
                <wp:lineTo x="21570" y="0"/>
                <wp:lineTo x="0" y="0"/>
              </wp:wrapPolygon>
            </wp:wrapTight>
            <wp:docPr id="15" name="Picture 1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Dia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4020" cy="6655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FD949E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003B3151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79DFA193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13468A9A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14400419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76E9F7DD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08D6CFC0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33ECB2F8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1A9AB31B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3BD5D293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14FC1AFC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26A3F743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7B518447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014C87D1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7002FF51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3E09AE94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147B3537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55B54377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25EA06D2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1E1470EC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113CBDEB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624E8BFA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7A5CEB14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59B368BB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52C5C18C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079EFC1E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793ABFB8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5DD9F838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0E145849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3D8B9720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2F317FB7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18FD6833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4C932266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439B93E6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4285A729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1C6AAA1C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430CC252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5B87AEEF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7F4EFD48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1457BA08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04887696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023A1C62" w14:textId="77777777" w:rsidR="007958F0" w:rsidRPr="00586FDB" w:rsidRDefault="007958F0" w:rsidP="007958F0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sz w:val="28"/>
          <w:szCs w:val="28"/>
          <w:lang w:val="en-US"/>
        </w:rPr>
      </w:pPr>
      <w:r w:rsidRPr="00042103">
        <w:rPr>
          <w:rFonts w:ascii="Arial" w:hAnsi="Arial" w:cs="Arial"/>
          <w:b/>
          <w:bCs/>
          <w:sz w:val="22"/>
          <w:szCs w:val="22"/>
          <w:lang w:val="en-US"/>
        </w:rPr>
        <w:t>S</w:t>
      </w:r>
      <w:r>
        <w:rPr>
          <w:rFonts w:ascii="Arial" w:hAnsi="Arial" w:cs="Arial"/>
          <w:b/>
          <w:bCs/>
          <w:sz w:val="22"/>
          <w:szCs w:val="22"/>
          <w:lang w:val="en-US"/>
        </w:rPr>
        <w:t>5</w:t>
      </w:r>
      <w:r w:rsidRPr="00042103">
        <w:rPr>
          <w:rFonts w:ascii="Arial" w:hAnsi="Arial" w:cs="Arial"/>
          <w:b/>
          <w:bCs/>
          <w:sz w:val="22"/>
          <w:szCs w:val="22"/>
          <w:lang w:val="en-US"/>
        </w:rPr>
        <w:t xml:space="preserve"> Figure.</w:t>
      </w:r>
      <w:r w:rsidRPr="00E479F7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Sequence of infections and lack of CD4 T cells modify the IgG-binding capabilities to previous infecting flaviviruses.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The quality</w:t>
      </w:r>
      <w:r w:rsidRPr="00F7353F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of the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recall </w:t>
      </w:r>
      <w:r w:rsidRPr="00F7353F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humoral response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per infecting sequence </w:t>
      </w:r>
      <w:r w:rsidRPr="00F7353F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was assessed using an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endpoint</w:t>
      </w:r>
      <w:r w:rsidRPr="00F7353F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dilution binding ELISA (A-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N</w:t>
      </w:r>
      <w:r w:rsidRPr="00F7353F">
        <w:rPr>
          <w:rFonts w:ascii="Arial" w:hAnsi="Arial" w:cs="Arial"/>
          <w:color w:val="000000" w:themeColor="text1"/>
          <w:sz w:val="22"/>
          <w:szCs w:val="22"/>
          <w:lang w:val="en-US"/>
        </w:rPr>
        <w:t>)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. </w:t>
      </w:r>
      <w:r w:rsidRPr="00CC6018">
        <w:rPr>
          <w:rFonts w:ascii="Arial" w:hAnsi="Arial" w:cs="Arial"/>
          <w:color w:val="000000" w:themeColor="text1"/>
          <w:sz w:val="22"/>
          <w:szCs w:val="22"/>
          <w:lang w:val="en-US"/>
        </w:rPr>
        <w:t>Animals depleted of CD4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  <w:lang w:val="en-US"/>
        </w:rPr>
        <w:t>+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T cells</w:t>
      </w:r>
      <w:r w:rsidRPr="00CC6018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are shown in red (DENV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-</w:t>
      </w:r>
      <w:r w:rsidRPr="00CC6018">
        <w:rPr>
          <w:rFonts w:ascii="Arial" w:hAnsi="Arial" w:cs="Arial"/>
          <w:color w:val="000000" w:themeColor="text1"/>
          <w:sz w:val="22"/>
          <w:szCs w:val="22"/>
          <w:lang w:val="en-US"/>
        </w:rPr>
        <w:t>primed) and purple (ZIKV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-</w:t>
      </w:r>
      <w:r w:rsidRPr="00CC6018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primed), DENV and ZIKV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immune-competent</w:t>
      </w:r>
      <w:r w:rsidRPr="00CC6018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are shown in blue and green, and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flavivirus-</w:t>
      </w:r>
      <w:r w:rsidRPr="00CC6018">
        <w:rPr>
          <w:rFonts w:ascii="Arial" w:hAnsi="Arial" w:cs="Arial"/>
          <w:color w:val="000000" w:themeColor="text1"/>
          <w:sz w:val="22"/>
          <w:szCs w:val="22"/>
          <w:lang w:val="en-US"/>
        </w:rPr>
        <w:t>naïve animals are shown in black in all panels.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(A-F) Binding results for experiment 1 (</w:t>
      </w:r>
      <w:r w:rsidRPr="00CE4035">
        <w:rPr>
          <w:rFonts w:ascii="Arial" w:hAnsi="Arial" w:cs="Arial"/>
          <w:i/>
          <w:iCs/>
          <w:color w:val="000000" w:themeColor="text1"/>
          <w:sz w:val="22"/>
          <w:szCs w:val="22"/>
          <w:lang w:val="en-US"/>
        </w:rPr>
        <w:t>n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=8, DENV3/4-ZIKV-DENV2) against DENV3, DENV4, and ZIKV for baseline and day 15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  <w:lang w:val="en-US"/>
        </w:rPr>
        <w:t>p.i.</w:t>
      </w:r>
      <w:proofErr w:type="spellEnd"/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are shown. (G-L) Binding results for experiment 2 (</w:t>
      </w:r>
      <w:r w:rsidRPr="00FA6386">
        <w:rPr>
          <w:rFonts w:ascii="Arial" w:hAnsi="Arial" w:cs="Arial"/>
          <w:i/>
          <w:iCs/>
          <w:color w:val="000000" w:themeColor="text1"/>
          <w:sz w:val="22"/>
          <w:szCs w:val="22"/>
          <w:lang w:val="en-US"/>
        </w:rPr>
        <w:t>n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=20, DENV2-ZIKV-DENV4 &amp; ZIKV-DENV2-DENV4) against ZIKV and DENV2 for baseline and day 15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  <w:lang w:val="en-US"/>
        </w:rPr>
        <w:t>p.i.</w:t>
      </w:r>
      <w:proofErr w:type="spellEnd"/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are shown. (M-N) </w:t>
      </w:r>
      <w:r w:rsidRPr="00586FDB">
        <w:rPr>
          <w:rFonts w:ascii="Arial" w:hAnsi="Arial" w:cs="Arial"/>
          <w:sz w:val="22"/>
          <w:szCs w:val="22"/>
          <w:lang w:val="en-US"/>
        </w:rPr>
        <w:t>Meta-analysis</w:t>
      </w:r>
      <w:r>
        <w:rPr>
          <w:rFonts w:ascii="Arial" w:hAnsi="Arial" w:cs="Arial"/>
          <w:sz w:val="22"/>
          <w:szCs w:val="22"/>
          <w:lang w:val="en-US"/>
        </w:rPr>
        <w:t xml:space="preserve"> of the binding results for experiments 1 and 2 against ZIKV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for baseline and day 15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  <w:lang w:val="en-US"/>
        </w:rPr>
        <w:t>p.i</w:t>
      </w:r>
      <w:proofErr w:type="spellEnd"/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are shown. </w:t>
      </w:r>
      <w:r w:rsidRPr="00F7353F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Statistically significant differences among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groups </w:t>
      </w:r>
      <w:r w:rsidRPr="006B0193">
        <w:rPr>
          <w:rFonts w:ascii="Arial" w:hAnsi="Arial" w:cs="Arial"/>
          <w:color w:val="202020"/>
          <w:sz w:val="22"/>
          <w:szCs w:val="22"/>
        </w:rPr>
        <w:t xml:space="preserve">were observed using </w:t>
      </w:r>
      <w:r>
        <w:rPr>
          <w:rFonts w:ascii="Arial" w:hAnsi="Arial" w:cs="Arial"/>
          <w:color w:val="202020"/>
          <w:sz w:val="22"/>
          <w:szCs w:val="22"/>
        </w:rPr>
        <w:t>multiple unpaired</w:t>
      </w:r>
      <w:r w:rsidRPr="006B0193">
        <w:rPr>
          <w:rFonts w:ascii="Arial" w:hAnsi="Arial" w:cs="Arial"/>
          <w:color w:val="202020"/>
          <w:sz w:val="22"/>
          <w:szCs w:val="22"/>
        </w:rPr>
        <w:t xml:space="preserve"> </w:t>
      </w:r>
      <w:r>
        <w:rPr>
          <w:rFonts w:ascii="Arial" w:hAnsi="Arial" w:cs="Arial"/>
          <w:color w:val="202020"/>
          <w:sz w:val="22"/>
          <w:szCs w:val="22"/>
        </w:rPr>
        <w:t>t-tests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. </w:t>
      </w:r>
    </w:p>
    <w:p w14:paraId="0A5F7E72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  <w:r>
        <w:rPr>
          <w:rFonts w:ascii="Arial" w:hAnsi="Arial" w:cs="Arial"/>
          <w:b/>
          <w:bCs/>
          <w:noProof/>
          <w:color w:val="000000" w:themeColor="text1"/>
          <w:sz w:val="22"/>
          <w:szCs w:val="22"/>
          <w:lang w:val="en-US"/>
        </w:rPr>
        <w:lastRenderedPageBreak/>
        <w:drawing>
          <wp:inline distT="0" distB="0" distL="0" distR="0" wp14:anchorId="72DA12D6" wp14:editId="33118997">
            <wp:extent cx="6858000" cy="5535295"/>
            <wp:effectExtent l="0" t="0" r="0" b="1905"/>
            <wp:docPr id="22" name="Picture 22" descr="Char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Chart&#10;&#10;Description automatically generated with low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535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2A0A7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A59EAD9" w14:textId="77777777" w:rsidR="007958F0" w:rsidRDefault="007958F0" w:rsidP="007958F0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  <w:r w:rsidRPr="00E479F7">
        <w:rPr>
          <w:rFonts w:ascii="Arial" w:hAnsi="Arial" w:cs="Arial"/>
          <w:b/>
          <w:bCs/>
          <w:sz w:val="22"/>
          <w:szCs w:val="22"/>
          <w:lang w:val="en-US"/>
        </w:rPr>
        <w:lastRenderedPageBreak/>
        <w:t>S</w:t>
      </w:r>
      <w:r>
        <w:rPr>
          <w:rFonts w:ascii="Arial" w:hAnsi="Arial" w:cs="Arial"/>
          <w:b/>
          <w:bCs/>
          <w:sz w:val="22"/>
          <w:szCs w:val="22"/>
          <w:lang w:val="en-US"/>
        </w:rPr>
        <w:t>6</w:t>
      </w:r>
      <w:r w:rsidRPr="00E479F7">
        <w:rPr>
          <w:rFonts w:ascii="Arial" w:hAnsi="Arial" w:cs="Arial"/>
          <w:b/>
          <w:bCs/>
          <w:sz w:val="22"/>
          <w:szCs w:val="22"/>
          <w:lang w:val="en-US"/>
        </w:rPr>
        <w:t xml:space="preserve"> Figure. Geometric mean titers of </w:t>
      </w:r>
      <w:r>
        <w:rPr>
          <w:rFonts w:ascii="Arial" w:hAnsi="Arial" w:cs="Arial"/>
          <w:b/>
          <w:bCs/>
          <w:sz w:val="22"/>
          <w:szCs w:val="22"/>
          <w:lang w:val="en-US"/>
        </w:rPr>
        <w:t>DENV-</w:t>
      </w:r>
      <w:proofErr w:type="gramStart"/>
      <w:r>
        <w:rPr>
          <w:rFonts w:ascii="Arial" w:hAnsi="Arial" w:cs="Arial"/>
          <w:b/>
          <w:bCs/>
          <w:sz w:val="22"/>
          <w:szCs w:val="22"/>
          <w:lang w:val="en-US"/>
        </w:rPr>
        <w:t>4</w:t>
      </w:r>
      <w:r w:rsidRPr="00E479F7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>
        <w:rPr>
          <w:rFonts w:ascii="Arial" w:hAnsi="Arial" w:cs="Arial"/>
          <w:b/>
          <w:bCs/>
          <w:sz w:val="22"/>
          <w:szCs w:val="22"/>
          <w:lang w:val="en-US"/>
        </w:rPr>
        <w:t>,</w:t>
      </w:r>
      <w:proofErr w:type="gramEnd"/>
      <w:r>
        <w:rPr>
          <w:rFonts w:ascii="Arial" w:hAnsi="Arial" w:cs="Arial"/>
          <w:b/>
          <w:bCs/>
          <w:sz w:val="22"/>
          <w:szCs w:val="22"/>
          <w:lang w:val="en-US"/>
        </w:rPr>
        <w:t xml:space="preserve"> DENV-2 and ZIKV </w:t>
      </w:r>
      <w:r w:rsidRPr="00E479F7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neutralizing antibodies. </w:t>
      </w:r>
      <w:r w:rsidRPr="00E479F7">
        <w:rPr>
          <w:rFonts w:ascii="Arial" w:hAnsi="Arial" w:cs="Arial"/>
          <w:color w:val="000000" w:themeColor="text1"/>
          <w:sz w:val="22"/>
          <w:szCs w:val="22"/>
          <w:lang w:val="en-US"/>
        </w:rPr>
        <w:t>Dilution titers against DENV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-4</w:t>
      </w:r>
      <w:r w:rsidRPr="00E479F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or DENV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-2 or </w:t>
      </w:r>
      <w:r w:rsidRPr="00E479F7">
        <w:rPr>
          <w:rFonts w:ascii="Arial" w:hAnsi="Arial" w:cs="Arial"/>
          <w:color w:val="000000" w:themeColor="text1"/>
          <w:sz w:val="22"/>
          <w:szCs w:val="22"/>
          <w:lang w:val="en-US"/>
        </w:rPr>
        <w:t>-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ZIKV</w:t>
      </w:r>
      <w:r w:rsidRPr="00E479F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during days 0, 15, 30 &amp; 60 post-infection </w:t>
      </w:r>
      <w:r w:rsidRPr="0050040C">
        <w:rPr>
          <w:rFonts w:ascii="Arial" w:hAnsi="Arial" w:cs="Arial"/>
          <w:color w:val="000000" w:themeColor="text1"/>
          <w:sz w:val="22"/>
          <w:szCs w:val="22"/>
          <w:lang w:val="en-US"/>
        </w:rPr>
        <w:t>(A &amp; B)</w:t>
      </w:r>
      <w:r w:rsidRPr="00E479F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. Animals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depleted of CD4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  <w:lang w:val="en-US"/>
        </w:rPr>
        <w:t xml:space="preserve">+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T cells</w:t>
      </w:r>
      <w:r w:rsidRPr="00E479F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are shown in red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(DENV-primed) and purple (ZIKV-primed)</w:t>
      </w:r>
      <w:r w:rsidRPr="00E479F7">
        <w:rPr>
          <w:rFonts w:ascii="Arial" w:hAnsi="Arial" w:cs="Arial"/>
          <w:color w:val="000000" w:themeColor="text1"/>
          <w:sz w:val="22"/>
          <w:szCs w:val="22"/>
          <w:lang w:val="en-US"/>
        </w:rPr>
        <w:t>, DENV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and ZIKV</w:t>
      </w:r>
      <w:r w:rsidRPr="00E479F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immune-competent</w:t>
      </w:r>
      <w:r w:rsidRPr="00E479F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animals are shown in blue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and green,</w:t>
      </w:r>
      <w:r w:rsidRPr="00E479F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and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flavivirus-</w:t>
      </w:r>
      <w:r w:rsidRPr="00E479F7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naïve animals are shown in black in all panels. The dotted line indicates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60% of neutralization. </w:t>
      </w:r>
      <w:r w:rsidRPr="00E479F7">
        <w:rPr>
          <w:rFonts w:ascii="Arial" w:hAnsi="Arial" w:cs="Arial"/>
          <w:color w:val="202020"/>
          <w:sz w:val="22"/>
          <w:szCs w:val="22"/>
        </w:rPr>
        <w:t>Non-neutralizing sera were assigned a value of one-half of the detection limit for</w:t>
      </w:r>
      <w:r w:rsidRPr="00E479F7">
        <w:rPr>
          <w:rFonts w:ascii="Arial" w:hAnsi="Arial" w:cs="Arial"/>
          <w:color w:val="202020"/>
          <w:sz w:val="22"/>
          <w:szCs w:val="22"/>
          <w:lang w:val="en-US"/>
        </w:rPr>
        <w:t xml:space="preserve"> </w:t>
      </w:r>
      <w:r w:rsidRPr="00E479F7">
        <w:rPr>
          <w:rFonts w:ascii="Arial" w:hAnsi="Arial" w:cs="Arial"/>
          <w:color w:val="202020"/>
          <w:sz w:val="22"/>
          <w:szCs w:val="22"/>
        </w:rPr>
        <w:t>visualization and calculation of the geometric means and confidence intervals.</w:t>
      </w:r>
      <w:r w:rsidRPr="00E479F7">
        <w:rPr>
          <w:rFonts w:ascii="Arial" w:hAnsi="Arial" w:cs="Arial"/>
          <w:color w:val="202020"/>
          <w:sz w:val="22"/>
          <w:szCs w:val="22"/>
          <w:lang w:val="en-US"/>
        </w:rPr>
        <w:t xml:space="preserve"> </w:t>
      </w:r>
      <w:r w:rsidRPr="00E479F7">
        <w:rPr>
          <w:rFonts w:ascii="Arial" w:hAnsi="Arial" w:cs="Arial"/>
          <w:color w:val="202020"/>
          <w:sz w:val="22"/>
          <w:szCs w:val="22"/>
        </w:rPr>
        <w:t xml:space="preserve">Statistically significant differences among groups </w:t>
      </w:r>
      <w:r w:rsidRPr="00FF330B">
        <w:rPr>
          <w:rFonts w:ascii="Arial" w:hAnsi="Arial" w:cs="Arial"/>
          <w:sz w:val="22"/>
          <w:szCs w:val="22"/>
        </w:rPr>
        <w:t>are reported as multiplicity adjusted p values</w:t>
      </w:r>
      <w:r w:rsidRPr="00E479F7" w:rsidDel="00936E59">
        <w:rPr>
          <w:rFonts w:ascii="Arial" w:hAnsi="Arial" w:cs="Arial"/>
          <w:color w:val="202020"/>
          <w:sz w:val="22"/>
          <w:szCs w:val="22"/>
        </w:rPr>
        <w:t xml:space="preserve"> </w:t>
      </w:r>
      <w:r w:rsidRPr="00E479F7">
        <w:rPr>
          <w:rFonts w:ascii="Arial" w:hAnsi="Arial" w:cs="Arial"/>
          <w:color w:val="202020"/>
          <w:sz w:val="22"/>
          <w:szCs w:val="22"/>
        </w:rPr>
        <w:t xml:space="preserve">calculated by two-way ANOVA using </w:t>
      </w:r>
      <w:r>
        <w:rPr>
          <w:rFonts w:ascii="Arial" w:hAnsi="Arial" w:cs="Arial"/>
          <w:color w:val="202020"/>
          <w:sz w:val="22"/>
          <w:szCs w:val="22"/>
        </w:rPr>
        <w:t>Tukey's</w:t>
      </w:r>
      <w:r w:rsidRPr="00E479F7">
        <w:rPr>
          <w:rFonts w:ascii="Arial" w:hAnsi="Arial" w:cs="Arial"/>
          <w:color w:val="202020"/>
          <w:sz w:val="22"/>
          <w:szCs w:val="22"/>
        </w:rPr>
        <w:t xml:space="preserve"> multiple comparisons tests</w:t>
      </w:r>
      <w:r>
        <w:rPr>
          <w:rFonts w:ascii="Arial" w:hAnsi="Arial" w:cs="Arial"/>
          <w:color w:val="202020"/>
          <w:sz w:val="22"/>
          <w:szCs w:val="22"/>
          <w:lang w:val="en-US"/>
        </w:rPr>
        <w:t xml:space="preserve">. </w:t>
      </w:r>
    </w:p>
    <w:p w14:paraId="3693364A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896954E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3EAB97C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6EDAB651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7912D52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7849234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3E9D8EA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D3364F2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7B46CE2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FC1F331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E9B7784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D44DF31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6332548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  <w:r>
        <w:rPr>
          <w:rFonts w:ascii="Arial" w:hAnsi="Arial" w:cs="Arial"/>
          <w:b/>
          <w:bCs/>
          <w:noProof/>
          <w:color w:val="000000" w:themeColor="text1"/>
          <w:sz w:val="22"/>
          <w:szCs w:val="22"/>
          <w:lang w:val="en-US"/>
        </w:rPr>
        <w:lastRenderedPageBreak/>
        <w:drawing>
          <wp:anchor distT="0" distB="0" distL="114300" distR="114300" simplePos="0" relativeHeight="251660288" behindDoc="1" locked="0" layoutInCell="1" allowOverlap="1" wp14:anchorId="42D8246C" wp14:editId="78FA1068">
            <wp:simplePos x="0" y="0"/>
            <wp:positionH relativeFrom="column">
              <wp:posOffset>1035001</wp:posOffset>
            </wp:positionH>
            <wp:positionV relativeFrom="paragraph">
              <wp:posOffset>98</wp:posOffset>
            </wp:positionV>
            <wp:extent cx="5048250" cy="5596255"/>
            <wp:effectExtent l="0" t="0" r="6350" b="4445"/>
            <wp:wrapTight wrapText="bothSides">
              <wp:wrapPolygon edited="0">
                <wp:start x="0" y="0"/>
                <wp:lineTo x="0" y="21568"/>
                <wp:lineTo x="21573" y="21568"/>
                <wp:lineTo x="21573" y="0"/>
                <wp:lineTo x="0" y="0"/>
              </wp:wrapPolygon>
            </wp:wrapTight>
            <wp:docPr id="32" name="Picture 32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A picture containing char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5596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2A03C4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DDF2A0E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55D293D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6203CDF1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7008D03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B2E8C98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3D4A19F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F493B16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76C8B2A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A23B1BC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6664D38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DAD219B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5EEFCFE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C6C7343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678ECD1F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6C5FFACC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9254A76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66A66F80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A106B27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2EB6EFE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D0DC61D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4761716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1607B96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D72061A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A6100C3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6673990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1184BE9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C251A90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678D5F6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4B51B6E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2EA155D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94278C8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620955C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B0E91E9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690066EB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F7925F4" w14:textId="77777777" w:rsidR="007958F0" w:rsidRDefault="007958F0" w:rsidP="007958F0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lastRenderedPageBreak/>
        <w:t xml:space="preserve">S7 </w:t>
      </w:r>
      <w:r w:rsidRPr="00FD7FEF">
        <w:rPr>
          <w:rFonts w:ascii="Arial" w:hAnsi="Arial" w:cs="Arial"/>
          <w:b/>
          <w:bCs/>
          <w:sz w:val="22"/>
          <w:szCs w:val="22"/>
          <w:lang w:val="en-US"/>
        </w:rPr>
        <w:t>Figure</w:t>
      </w:r>
      <w:r>
        <w:rPr>
          <w:rFonts w:ascii="Arial" w:hAnsi="Arial" w:cs="Arial"/>
          <w:b/>
          <w:bCs/>
          <w:sz w:val="22"/>
          <w:szCs w:val="22"/>
          <w:lang w:val="en-US"/>
        </w:rPr>
        <w:t>. Recall humoral response to heterologous</w:t>
      </w:r>
      <w:r w:rsidRPr="00FD7FEF">
        <w:rPr>
          <w:rFonts w:ascii="Arial" w:hAnsi="Arial" w:cs="Arial"/>
          <w:b/>
          <w:bCs/>
          <w:sz w:val="22"/>
          <w:szCs w:val="22"/>
          <w:lang w:val="en-US"/>
        </w:rPr>
        <w:t xml:space="preserve"> DENV</w:t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 serotypes and ZIKV</w:t>
      </w:r>
      <w:r w:rsidRPr="00FD7FEF">
        <w:rPr>
          <w:rFonts w:ascii="Arial" w:hAnsi="Arial" w:cs="Arial"/>
          <w:b/>
          <w:bCs/>
          <w:sz w:val="22"/>
          <w:szCs w:val="22"/>
          <w:lang w:val="en-US"/>
        </w:rPr>
        <w:t>.</w:t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 xml:space="preserve">PRNT and FRNT assays were performed to determine the effect of immune hindrance in the amnestic response against different DENV and ZIKV. </w:t>
      </w:r>
      <w:r w:rsidRPr="00E479F7">
        <w:rPr>
          <w:rFonts w:ascii="Arial" w:hAnsi="Arial" w:cs="Arial"/>
          <w:color w:val="202020"/>
          <w:sz w:val="22"/>
          <w:szCs w:val="22"/>
        </w:rPr>
        <w:t xml:space="preserve">The 50% effective concentration of neutralizing antibodies was determined. </w:t>
      </w:r>
      <w:r>
        <w:rPr>
          <w:rFonts w:ascii="Arial" w:hAnsi="Arial" w:cs="Arial"/>
          <w:color w:val="202020"/>
          <w:sz w:val="22"/>
          <w:szCs w:val="22"/>
          <w:lang w:val="en-US"/>
        </w:rPr>
        <w:t xml:space="preserve">In all panels, EC50 values for DENV-2 are in black, ZIKV in gray, and DENV-4 in blue. </w:t>
      </w:r>
      <w:r w:rsidRPr="00E479F7">
        <w:rPr>
          <w:rFonts w:ascii="Arial" w:hAnsi="Arial" w:cs="Arial"/>
          <w:color w:val="202020"/>
          <w:sz w:val="22"/>
          <w:szCs w:val="22"/>
        </w:rPr>
        <w:t xml:space="preserve">Non-neutralizing </w:t>
      </w:r>
      <w:r>
        <w:rPr>
          <w:rFonts w:ascii="Arial" w:hAnsi="Arial" w:cs="Arial"/>
          <w:color w:val="202020"/>
          <w:sz w:val="22"/>
          <w:szCs w:val="22"/>
          <w:lang w:val="en-US"/>
        </w:rPr>
        <w:t>samples</w:t>
      </w:r>
      <w:r w:rsidRPr="00E479F7">
        <w:rPr>
          <w:rFonts w:ascii="Arial" w:hAnsi="Arial" w:cs="Arial"/>
          <w:color w:val="202020"/>
          <w:sz w:val="22"/>
          <w:szCs w:val="22"/>
        </w:rPr>
        <w:t xml:space="preserve"> were assigned a value of one-half of the </w:t>
      </w:r>
      <w:r>
        <w:rPr>
          <w:rFonts w:ascii="Arial" w:hAnsi="Arial" w:cs="Arial"/>
          <w:color w:val="202020"/>
          <w:sz w:val="22"/>
          <w:szCs w:val="22"/>
        </w:rPr>
        <w:t>detection limit</w:t>
      </w:r>
      <w:r w:rsidRPr="00E479F7">
        <w:rPr>
          <w:rFonts w:ascii="Arial" w:hAnsi="Arial" w:cs="Arial"/>
          <w:color w:val="202020"/>
          <w:sz w:val="22"/>
          <w:szCs w:val="22"/>
        </w:rPr>
        <w:t xml:space="preserve"> for visualization and calculation of the geometric means and confidence intervals. </w:t>
      </w:r>
      <w:r w:rsidRPr="00E479F7">
        <w:rPr>
          <w:rFonts w:ascii="Arial" w:hAnsi="Arial" w:cs="Arial"/>
          <w:sz w:val="22"/>
          <w:szCs w:val="22"/>
          <w:lang w:val="en-US"/>
        </w:rPr>
        <w:t>(</w:t>
      </w:r>
      <w:r w:rsidRPr="00E479F7">
        <w:rPr>
          <w:rFonts w:ascii="Arial" w:hAnsi="Arial" w:cs="Arial"/>
          <w:color w:val="202020"/>
          <w:sz w:val="22"/>
          <w:szCs w:val="22"/>
        </w:rPr>
        <w:t>A</w:t>
      </w:r>
      <w:r>
        <w:rPr>
          <w:rFonts w:ascii="Arial" w:hAnsi="Arial" w:cs="Arial"/>
          <w:color w:val="202020"/>
          <w:sz w:val="22"/>
          <w:szCs w:val="22"/>
          <w:lang w:val="en-US"/>
        </w:rPr>
        <w:t>-E</w:t>
      </w:r>
      <w:r w:rsidRPr="00E479F7">
        <w:rPr>
          <w:rFonts w:ascii="Arial" w:hAnsi="Arial" w:cs="Arial"/>
          <w:color w:val="202020"/>
          <w:sz w:val="22"/>
          <w:szCs w:val="22"/>
        </w:rPr>
        <w:t xml:space="preserve">) EC50 values of neutralizing antibodies </w:t>
      </w:r>
      <w:r>
        <w:rPr>
          <w:rFonts w:ascii="Arial" w:hAnsi="Arial" w:cs="Arial"/>
          <w:color w:val="202020"/>
          <w:sz w:val="22"/>
          <w:szCs w:val="22"/>
          <w:lang w:val="en-US"/>
        </w:rPr>
        <w:t xml:space="preserve">against DENV-2, ZIKV, and DENV-4 before and after DENV-2 or DENV-4 tertiary infection. </w:t>
      </w:r>
      <w:r w:rsidRPr="00E479F7">
        <w:rPr>
          <w:rFonts w:ascii="Arial" w:hAnsi="Arial" w:cs="Arial"/>
          <w:color w:val="202020"/>
          <w:sz w:val="22"/>
          <w:szCs w:val="22"/>
        </w:rPr>
        <w:t>Statistically significant differences among</w:t>
      </w:r>
      <w:r>
        <w:rPr>
          <w:rFonts w:ascii="Arial" w:hAnsi="Arial" w:cs="Arial"/>
          <w:color w:val="202020"/>
          <w:sz w:val="22"/>
          <w:szCs w:val="22"/>
          <w:lang w:val="en-US"/>
        </w:rPr>
        <w:t xml:space="preserve"> and</w:t>
      </w:r>
      <w:r w:rsidRPr="00E479F7">
        <w:rPr>
          <w:rFonts w:ascii="Arial" w:hAnsi="Arial" w:cs="Arial"/>
          <w:color w:val="202020"/>
          <w:sz w:val="22"/>
          <w:szCs w:val="22"/>
        </w:rPr>
        <w:t xml:space="preserve"> </w:t>
      </w:r>
      <w:r>
        <w:rPr>
          <w:rFonts w:ascii="Arial" w:hAnsi="Arial" w:cs="Arial"/>
          <w:color w:val="202020"/>
          <w:sz w:val="22"/>
          <w:szCs w:val="22"/>
          <w:lang w:val="en-US"/>
        </w:rPr>
        <w:t xml:space="preserve">within </w:t>
      </w:r>
      <w:r w:rsidRPr="00E479F7">
        <w:rPr>
          <w:rFonts w:ascii="Arial" w:hAnsi="Arial" w:cs="Arial"/>
          <w:color w:val="202020"/>
          <w:sz w:val="22"/>
          <w:szCs w:val="22"/>
        </w:rPr>
        <w:t xml:space="preserve">groups </w:t>
      </w:r>
      <w:r w:rsidRPr="00FF330B">
        <w:rPr>
          <w:rFonts w:ascii="Arial" w:hAnsi="Arial" w:cs="Arial"/>
          <w:sz w:val="22"/>
          <w:szCs w:val="22"/>
        </w:rPr>
        <w:t>are reported as multiplicity adjusted p values</w:t>
      </w:r>
      <w:r w:rsidRPr="00E479F7" w:rsidDel="00936E59">
        <w:rPr>
          <w:rFonts w:ascii="Arial" w:hAnsi="Arial" w:cs="Arial"/>
          <w:color w:val="202020"/>
          <w:sz w:val="22"/>
          <w:szCs w:val="22"/>
        </w:rPr>
        <w:t xml:space="preserve"> </w:t>
      </w:r>
      <w:r w:rsidRPr="00E479F7">
        <w:rPr>
          <w:rFonts w:ascii="Arial" w:hAnsi="Arial" w:cs="Arial"/>
          <w:color w:val="202020"/>
          <w:sz w:val="22"/>
          <w:szCs w:val="22"/>
        </w:rPr>
        <w:t xml:space="preserve">calculated by two-way ANOVA using </w:t>
      </w:r>
      <w:r>
        <w:rPr>
          <w:rFonts w:ascii="Arial" w:hAnsi="Arial" w:cs="Arial"/>
          <w:color w:val="202020"/>
          <w:sz w:val="22"/>
          <w:szCs w:val="22"/>
        </w:rPr>
        <w:t>Tukey's</w:t>
      </w:r>
      <w:r w:rsidRPr="00E479F7">
        <w:rPr>
          <w:rFonts w:ascii="Arial" w:hAnsi="Arial" w:cs="Arial"/>
          <w:color w:val="202020"/>
          <w:sz w:val="22"/>
          <w:szCs w:val="22"/>
        </w:rPr>
        <w:t xml:space="preserve"> multiple comparisons test</w:t>
      </w:r>
      <w:r>
        <w:rPr>
          <w:rFonts w:ascii="Arial" w:hAnsi="Arial" w:cs="Arial"/>
          <w:color w:val="202020"/>
          <w:sz w:val="22"/>
          <w:szCs w:val="22"/>
          <w:lang w:val="en-US"/>
        </w:rPr>
        <w:t xml:space="preserve">. </w:t>
      </w:r>
    </w:p>
    <w:p w14:paraId="75B1E0A6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404266F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6E4339FA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4141ADE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257719E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  <w:r>
        <w:rPr>
          <w:rFonts w:ascii="Arial" w:hAnsi="Arial" w:cs="Arial"/>
          <w:b/>
          <w:bCs/>
          <w:noProof/>
          <w:color w:val="000000" w:themeColor="text1"/>
          <w:sz w:val="22"/>
          <w:szCs w:val="22"/>
          <w:lang w:val="en-US"/>
        </w:rPr>
        <w:lastRenderedPageBreak/>
        <w:drawing>
          <wp:anchor distT="0" distB="0" distL="114300" distR="114300" simplePos="0" relativeHeight="251665408" behindDoc="1" locked="0" layoutInCell="1" allowOverlap="1" wp14:anchorId="2C54696F" wp14:editId="3D5D8058">
            <wp:simplePos x="0" y="0"/>
            <wp:positionH relativeFrom="column">
              <wp:posOffset>1189779</wp:posOffset>
            </wp:positionH>
            <wp:positionV relativeFrom="paragraph">
              <wp:posOffset>353</wp:posOffset>
            </wp:positionV>
            <wp:extent cx="5039995" cy="6635750"/>
            <wp:effectExtent l="0" t="0" r="1905" b="6350"/>
            <wp:wrapTight wrapText="bothSides">
              <wp:wrapPolygon edited="0">
                <wp:start x="0" y="0"/>
                <wp:lineTo x="0" y="21579"/>
                <wp:lineTo x="21554" y="21579"/>
                <wp:lineTo x="21554" y="0"/>
                <wp:lineTo x="0" y="0"/>
              </wp:wrapPolygon>
            </wp:wrapTight>
            <wp:docPr id="8" name="Picture 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Diagram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6635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AE925D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731DD11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EFAA280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038F3B9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3EAD746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35174D1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6FB4E57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1F94656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30C05EA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F4BD673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B6EB7BF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18BD62E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CA47A9A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D004242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DFAAF6C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528AD16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484D95E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793C3B8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AC811C8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85EF860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6E6B6918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9AB9F0D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8018DC4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EA85C17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BE1A790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6AE6048B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5494268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68557A3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47FE979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A2C97F5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BCE530C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55499F4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9A2C7A9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4D263B5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6647CAE7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6B3FE9F0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DFE9D38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BE218B9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BDB77EE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D94AFB8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6C25D98B" w14:textId="77777777" w:rsidR="007958F0" w:rsidRDefault="007958F0" w:rsidP="007958F0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3179014" w14:textId="77777777" w:rsidR="007958F0" w:rsidRPr="00CC6018" w:rsidRDefault="007958F0" w:rsidP="007958F0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  <w:r w:rsidRPr="00CC6018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S</w:t>
      </w:r>
      <w: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8</w:t>
      </w:r>
      <w:r w:rsidRPr="00CC6018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</w:t>
      </w:r>
      <w:r w:rsidRPr="00CC6018">
        <w:rPr>
          <w:rFonts w:ascii="Arial" w:hAnsi="Arial" w:cs="Arial"/>
          <w:b/>
          <w:bCs/>
          <w:sz w:val="22"/>
          <w:szCs w:val="22"/>
          <w:lang w:val="en-US"/>
        </w:rPr>
        <w:t xml:space="preserve">Figure. DENV/ZIKV &amp; ZIKV/DENV infection sequences: </w:t>
      </w:r>
      <w:r w:rsidRPr="002F1067">
        <w:rPr>
          <w:rFonts w:ascii="Arial" w:hAnsi="Arial" w:cs="Arial"/>
          <w:b/>
          <w:bCs/>
          <w:color w:val="202020"/>
          <w:sz w:val="22"/>
          <w:szCs w:val="22"/>
        </w:rPr>
        <w:t xml:space="preserve">B cells profile before and after </w:t>
      </w:r>
      <w:r w:rsidRPr="00CC6018">
        <w:rPr>
          <w:rFonts w:ascii="Arial" w:hAnsi="Arial" w:cs="Arial"/>
          <w:b/>
          <w:bCs/>
          <w:color w:val="202020"/>
          <w:sz w:val="22"/>
          <w:szCs w:val="22"/>
          <w:lang w:val="en-US"/>
        </w:rPr>
        <w:t>DENV-4</w:t>
      </w:r>
      <w:r w:rsidRPr="002F1067">
        <w:rPr>
          <w:rFonts w:ascii="Arial" w:hAnsi="Arial" w:cs="Arial"/>
          <w:b/>
          <w:bCs/>
          <w:color w:val="202020"/>
          <w:sz w:val="22"/>
          <w:szCs w:val="22"/>
        </w:rPr>
        <w:t xml:space="preserve"> infection.</w:t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</w:rPr>
        <w:t>Frequency of B cells was assessed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 xml:space="preserve"> by immunophenotyping using flow cytometry </w:t>
      </w:r>
      <w:r w:rsidRPr="00EF4DDB">
        <w:rPr>
          <w:rFonts w:ascii="Arial" w:hAnsi="Arial" w:cs="Arial"/>
          <w:color w:val="222222"/>
          <w:sz w:val="22"/>
          <w:szCs w:val="22"/>
          <w:shd w:val="clear" w:color="auto" w:fill="FFFFFF"/>
        </w:rPr>
        <w:t>(S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9</w:t>
      </w:r>
      <w:r w:rsidRPr="00EF4DDB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 </w:t>
      </w:r>
      <w:r w:rsidRPr="00EF4DDB">
        <w:rPr>
          <w:rFonts w:ascii="Arial" w:hAnsi="Arial" w:cs="Arial"/>
          <w:color w:val="222222"/>
          <w:sz w:val="22"/>
          <w:szCs w:val="22"/>
          <w:shd w:val="clear" w:color="auto" w:fill="FFFFFF"/>
        </w:rPr>
        <w:t>Fig</w:t>
      </w:r>
      <w:r w:rsidRPr="00EF4DDB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 </w:t>
      </w:r>
      <w:r w:rsidRPr="00EF4DDB">
        <w:rPr>
          <w:rFonts w:ascii="Arial" w:hAnsi="Arial" w:cs="Arial"/>
          <w:color w:val="222222"/>
          <w:sz w:val="22"/>
          <w:szCs w:val="22"/>
          <w:shd w:val="clear" w:color="auto" w:fill="FFFFFF"/>
        </w:rPr>
        <w:t>for gating strategy)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 xml:space="preserve"> 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</w:rPr>
        <w:t>during baseline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>, days 7, 10, 15, and 30 post-infection.</w:t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Pr="00CC6018">
        <w:rPr>
          <w:rFonts w:ascii="Arial" w:hAnsi="Arial" w:cs="Arial"/>
          <w:color w:val="000000" w:themeColor="text1"/>
          <w:sz w:val="22"/>
          <w:szCs w:val="22"/>
          <w:lang w:val="en-US"/>
        </w:rPr>
        <w:t>Animals depleted of CD4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  <w:lang w:val="en-US"/>
        </w:rPr>
        <w:t>+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T cells</w:t>
      </w:r>
      <w:r w:rsidRPr="00CC6018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are shown in red (DENV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-</w:t>
      </w:r>
      <w:r w:rsidRPr="00CC6018">
        <w:rPr>
          <w:rFonts w:ascii="Arial" w:hAnsi="Arial" w:cs="Arial"/>
          <w:color w:val="000000" w:themeColor="text1"/>
          <w:sz w:val="22"/>
          <w:szCs w:val="22"/>
          <w:lang w:val="en-US"/>
        </w:rPr>
        <w:t>primed) and purple (ZIKV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-</w:t>
      </w:r>
      <w:r w:rsidRPr="00CC6018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primed), DENV and ZIKV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immune-competent</w:t>
      </w:r>
      <w:r w:rsidRPr="00CC6018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are shown in blue and green, and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flavivirus-</w:t>
      </w:r>
      <w:r w:rsidRPr="00CC6018">
        <w:rPr>
          <w:rFonts w:ascii="Arial" w:hAnsi="Arial" w:cs="Arial"/>
          <w:color w:val="000000" w:themeColor="text1"/>
          <w:sz w:val="22"/>
          <w:szCs w:val="22"/>
          <w:lang w:val="en-US"/>
        </w:rPr>
        <w:t>naïve animals are shown in black in all panels.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 xml:space="preserve"> 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</w:rPr>
        <w:t>(A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>-B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</w:rPr>
        <w:t>) Percentage of total B cells (CD20</w:t>
      </w:r>
      <w:r w:rsidRPr="004C4047">
        <w:rPr>
          <w:rFonts w:ascii="Arial" w:hAnsi="Arial" w:cs="Arial"/>
          <w:color w:val="202020"/>
          <w:sz w:val="22"/>
          <w:szCs w:val="22"/>
          <w:shd w:val="clear" w:color="auto" w:fill="FFFFFF"/>
          <w:vertAlign w:val="superscript"/>
        </w:rPr>
        <w:t>+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>CD3</w:t>
      </w:r>
      <w:r w:rsidRPr="00392691">
        <w:rPr>
          <w:rFonts w:ascii="Arial" w:hAnsi="Arial" w:cs="Arial"/>
          <w:color w:val="202020"/>
          <w:sz w:val="22"/>
          <w:szCs w:val="22"/>
          <w:shd w:val="clear" w:color="auto" w:fill="FFFFFF"/>
          <w:vertAlign w:val="superscript"/>
          <w:lang w:val="en-US"/>
        </w:rPr>
        <w:t>-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</w:rPr>
        <w:t>) (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>C-D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</w:rPr>
        <w:t>) Frequency of activated B cells (CD20</w:t>
      </w:r>
      <w:r w:rsidRPr="004C4047">
        <w:rPr>
          <w:rFonts w:ascii="Arial" w:hAnsi="Arial" w:cs="Arial"/>
          <w:color w:val="202020"/>
          <w:sz w:val="22"/>
          <w:szCs w:val="22"/>
          <w:shd w:val="clear" w:color="auto" w:fill="FFFFFF"/>
          <w:vertAlign w:val="superscript"/>
        </w:rPr>
        <w:t>+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>CD3</w:t>
      </w:r>
      <w:r w:rsidRPr="004C4047">
        <w:rPr>
          <w:rFonts w:ascii="Arial" w:hAnsi="Arial" w:cs="Arial"/>
          <w:color w:val="202020"/>
          <w:sz w:val="22"/>
          <w:szCs w:val="22"/>
          <w:shd w:val="clear" w:color="auto" w:fill="FFFFFF"/>
          <w:vertAlign w:val="superscript"/>
          <w:lang w:val="en-US"/>
        </w:rPr>
        <w:t>-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</w:rPr>
        <w:t>CD69</w:t>
      </w:r>
      <w:r w:rsidRPr="004C4047">
        <w:rPr>
          <w:rFonts w:ascii="Arial" w:hAnsi="Arial" w:cs="Arial"/>
          <w:color w:val="202020"/>
          <w:sz w:val="22"/>
          <w:szCs w:val="22"/>
          <w:shd w:val="clear" w:color="auto" w:fill="FFFFFF"/>
          <w:vertAlign w:val="superscript"/>
        </w:rPr>
        <w:t>+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</w:rPr>
        <w:t>) (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>E-F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) 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>Percentage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of 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>antibody-secreting cells (ASC)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(CD20</w:t>
      </w:r>
      <w:r w:rsidRPr="004C4047">
        <w:rPr>
          <w:rFonts w:ascii="Arial" w:hAnsi="Arial" w:cs="Arial"/>
          <w:color w:val="202020"/>
          <w:sz w:val="22"/>
          <w:szCs w:val="22"/>
          <w:shd w:val="clear" w:color="auto" w:fill="FFFFFF"/>
          <w:vertAlign w:val="superscript"/>
          <w:lang w:val="en-US"/>
        </w:rPr>
        <w:t>-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>CD3</w:t>
      </w:r>
      <w:r w:rsidRPr="004C4047">
        <w:rPr>
          <w:rFonts w:ascii="Arial" w:hAnsi="Arial" w:cs="Arial"/>
          <w:color w:val="202020"/>
          <w:sz w:val="22"/>
          <w:szCs w:val="22"/>
          <w:shd w:val="clear" w:color="auto" w:fill="FFFFFF"/>
          <w:vertAlign w:val="superscript"/>
          <w:lang w:val="en-US"/>
        </w:rPr>
        <w:t>-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</w:rPr>
        <w:t>CD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>27</w:t>
      </w:r>
      <w:r w:rsidRPr="004C4047">
        <w:rPr>
          <w:rFonts w:ascii="Arial" w:hAnsi="Arial" w:cs="Arial"/>
          <w:color w:val="202020"/>
          <w:sz w:val="22"/>
          <w:szCs w:val="22"/>
          <w:shd w:val="clear" w:color="auto" w:fill="FFFFFF"/>
          <w:vertAlign w:val="superscript"/>
          <w:lang w:val="en-US"/>
        </w:rPr>
        <w:t>+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) </w:t>
      </w:r>
    </w:p>
    <w:p w14:paraId="39FEF601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5305AB0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  <w:r>
        <w:rPr>
          <w:rFonts w:ascii="Arial" w:hAnsi="Arial" w:cs="Arial"/>
          <w:b/>
          <w:bCs/>
          <w:noProof/>
          <w:color w:val="000000" w:themeColor="text1"/>
          <w:sz w:val="22"/>
          <w:szCs w:val="22"/>
          <w:lang w:val="en-US"/>
        </w:rPr>
        <w:lastRenderedPageBreak/>
        <w:drawing>
          <wp:anchor distT="0" distB="0" distL="114300" distR="114300" simplePos="0" relativeHeight="251662336" behindDoc="1" locked="0" layoutInCell="1" allowOverlap="1" wp14:anchorId="47119293" wp14:editId="0830ECBE">
            <wp:simplePos x="0" y="0"/>
            <wp:positionH relativeFrom="column">
              <wp:posOffset>1309176</wp:posOffset>
            </wp:positionH>
            <wp:positionV relativeFrom="paragraph">
              <wp:posOffset>-592</wp:posOffset>
            </wp:positionV>
            <wp:extent cx="4850765" cy="3926840"/>
            <wp:effectExtent l="0" t="0" r="635" b="0"/>
            <wp:wrapTight wrapText="bothSides">
              <wp:wrapPolygon edited="0">
                <wp:start x="0" y="0"/>
                <wp:lineTo x="0" y="21516"/>
                <wp:lineTo x="21546" y="21516"/>
                <wp:lineTo x="21546" y="0"/>
                <wp:lineTo x="0" y="0"/>
              </wp:wrapPolygon>
            </wp:wrapTight>
            <wp:docPr id="1" name="Picture 1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, engineering drawing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0765" cy="3926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13BFA5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FABEF24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201F584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034C70F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3C558E7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4F05037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62420D98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B10623A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E951506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8546BBC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79B5DBFE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0C5912A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65ED5B1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F38D48C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23ED242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F14E7D2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00E45D3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E9974A9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01D5C66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16E8933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89242B1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E155FFC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5101EAB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56752A9C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67F08E1E" w14:textId="77777777" w:rsidR="007958F0" w:rsidRPr="00EF4DDB" w:rsidRDefault="007958F0" w:rsidP="007958F0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  <w:r w:rsidRPr="003B1603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S</w:t>
      </w:r>
      <w: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9</w:t>
      </w:r>
      <w:r w:rsidRPr="003B1603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</w:t>
      </w:r>
      <w:r w:rsidRPr="003B1603">
        <w:rPr>
          <w:rFonts w:ascii="Arial" w:hAnsi="Arial" w:cs="Arial"/>
          <w:b/>
          <w:bCs/>
          <w:sz w:val="22"/>
          <w:szCs w:val="22"/>
          <w:lang w:val="en-US"/>
        </w:rPr>
        <w:t xml:space="preserve">Figure. </w:t>
      </w:r>
      <w:r w:rsidRPr="00C41F3B">
        <w:rPr>
          <w:rFonts w:ascii="Arial" w:hAnsi="Arial" w:cs="Arial"/>
          <w:b/>
          <w:bCs/>
          <w:sz w:val="22"/>
          <w:szCs w:val="22"/>
        </w:rPr>
        <w:t>Gating strategy for immunophenotyping and activation of B cells</w:t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Pr="00C41F3B">
        <w:rPr>
          <w:rFonts w:ascii="Arial" w:hAnsi="Arial" w:cs="Arial"/>
          <w:b/>
          <w:bCs/>
          <w:sz w:val="22"/>
          <w:szCs w:val="22"/>
        </w:rPr>
        <w:t>and subpopulations</w:t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. </w:t>
      </w:r>
      <w:r w:rsidRPr="00C41F3B">
        <w:rPr>
          <w:rFonts w:ascii="Arial" w:hAnsi="Arial" w:cs="Arial"/>
          <w:sz w:val="22"/>
          <w:szCs w:val="22"/>
        </w:rPr>
        <w:t>Single cells (singlets) were selected by their FSC area (FSC-A) and height (FSC-H) patterns. Lymphocytes (LYM) were gated based on their characteristic forward and side scatter pattern (FSC, SSC). B cells were defined as CD20</w:t>
      </w:r>
      <w:r w:rsidRPr="00EF4DDB">
        <w:rPr>
          <w:rFonts w:ascii="Arial" w:hAnsi="Arial" w:cs="Arial"/>
          <w:sz w:val="22"/>
          <w:szCs w:val="22"/>
          <w:vertAlign w:val="superscript"/>
        </w:rPr>
        <w:t>+</w:t>
      </w:r>
      <w:r w:rsidRPr="00C41F3B">
        <w:rPr>
          <w:rFonts w:ascii="Arial" w:hAnsi="Arial" w:cs="Arial"/>
          <w:sz w:val="22"/>
          <w:szCs w:val="22"/>
        </w:rPr>
        <w:t>CD3</w:t>
      </w:r>
      <w:r w:rsidRPr="00EF4DDB">
        <w:rPr>
          <w:rFonts w:ascii="Arial" w:hAnsi="Arial" w:cs="Arial"/>
          <w:sz w:val="22"/>
          <w:szCs w:val="22"/>
          <w:vertAlign w:val="superscript"/>
        </w:rPr>
        <w:t>-</w:t>
      </w:r>
      <w:r>
        <w:rPr>
          <w:rFonts w:ascii="Arial" w:hAnsi="Arial" w:cs="Arial"/>
          <w:sz w:val="22"/>
          <w:szCs w:val="22"/>
          <w:lang w:val="en-US"/>
        </w:rPr>
        <w:t xml:space="preserve">, memory B cells as 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</w:rPr>
        <w:t>CD20</w:t>
      </w:r>
      <w:r w:rsidRPr="00965427">
        <w:rPr>
          <w:rFonts w:ascii="Arial" w:hAnsi="Arial" w:cs="Arial"/>
          <w:color w:val="202020"/>
          <w:sz w:val="22"/>
          <w:szCs w:val="22"/>
          <w:shd w:val="clear" w:color="auto" w:fill="FFFFFF"/>
          <w:vertAlign w:val="superscript"/>
        </w:rPr>
        <w:t>+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>CD3</w:t>
      </w:r>
      <w:r w:rsidRPr="00965427">
        <w:rPr>
          <w:rFonts w:ascii="Arial" w:hAnsi="Arial" w:cs="Arial"/>
          <w:color w:val="202020"/>
          <w:sz w:val="22"/>
          <w:szCs w:val="22"/>
          <w:shd w:val="clear" w:color="auto" w:fill="FFFFFF"/>
          <w:vertAlign w:val="superscript"/>
          <w:lang w:val="en-US"/>
        </w:rPr>
        <w:t>-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>CD27</w:t>
      </w:r>
      <w:r w:rsidRPr="00965427">
        <w:rPr>
          <w:rFonts w:ascii="Arial" w:hAnsi="Arial" w:cs="Arial"/>
          <w:color w:val="202020"/>
          <w:sz w:val="22"/>
          <w:szCs w:val="22"/>
          <w:shd w:val="clear" w:color="auto" w:fill="FFFFFF"/>
          <w:vertAlign w:val="superscript"/>
          <w:lang w:val="en-US"/>
        </w:rPr>
        <w:t>+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 xml:space="preserve">and ASC as 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</w:rPr>
        <w:t>CD20</w:t>
      </w:r>
      <w:r w:rsidRPr="004C4047">
        <w:rPr>
          <w:rFonts w:ascii="Arial" w:hAnsi="Arial" w:cs="Arial"/>
          <w:color w:val="202020"/>
          <w:sz w:val="22"/>
          <w:szCs w:val="22"/>
          <w:shd w:val="clear" w:color="auto" w:fill="FFFFFF"/>
          <w:vertAlign w:val="superscript"/>
          <w:lang w:val="en-US"/>
        </w:rPr>
        <w:t>-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>CD3</w:t>
      </w:r>
      <w:r w:rsidRPr="004C4047">
        <w:rPr>
          <w:rFonts w:ascii="Arial" w:hAnsi="Arial" w:cs="Arial"/>
          <w:color w:val="202020"/>
          <w:sz w:val="22"/>
          <w:szCs w:val="22"/>
          <w:shd w:val="clear" w:color="auto" w:fill="FFFFFF"/>
          <w:vertAlign w:val="superscript"/>
          <w:lang w:val="en-US"/>
        </w:rPr>
        <w:t>-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</w:rPr>
        <w:t>CD</w:t>
      </w:r>
      <w:r w:rsidRPr="00CC6018"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>27</w:t>
      </w:r>
      <w:r w:rsidRPr="004C4047">
        <w:rPr>
          <w:rFonts w:ascii="Arial" w:hAnsi="Arial" w:cs="Arial"/>
          <w:color w:val="202020"/>
          <w:sz w:val="22"/>
          <w:szCs w:val="22"/>
          <w:shd w:val="clear" w:color="auto" w:fill="FFFFFF"/>
          <w:vertAlign w:val="superscript"/>
          <w:lang w:val="en-US"/>
        </w:rPr>
        <w:t>+</w:t>
      </w:r>
      <w:r>
        <w:rPr>
          <w:rFonts w:ascii="Arial" w:hAnsi="Arial" w:cs="Arial"/>
          <w:sz w:val="22"/>
          <w:szCs w:val="22"/>
          <w:lang w:val="en-US"/>
        </w:rPr>
        <w:t xml:space="preserve">. </w:t>
      </w:r>
      <w:r w:rsidRPr="00C41F3B">
        <w:rPr>
          <w:rFonts w:ascii="Arial" w:hAnsi="Arial" w:cs="Arial"/>
          <w:sz w:val="22"/>
          <w:szCs w:val="22"/>
        </w:rPr>
        <w:t>The activation of B and subpopulations was assessed by the presence of the early activation marker CD69</w:t>
      </w:r>
      <w:r w:rsidRPr="00EF4DDB">
        <w:rPr>
          <w:rFonts w:ascii="Arial" w:hAnsi="Arial" w:cs="Arial"/>
          <w:sz w:val="22"/>
          <w:szCs w:val="22"/>
          <w:vertAlign w:val="superscript"/>
          <w:lang w:val="en-US"/>
        </w:rPr>
        <w:t>+</w:t>
      </w:r>
      <w:r>
        <w:rPr>
          <w:rFonts w:ascii="Arial" w:hAnsi="Arial" w:cs="Arial"/>
          <w:sz w:val="22"/>
          <w:szCs w:val="22"/>
          <w:lang w:val="en-US"/>
        </w:rPr>
        <w:t>.</w:t>
      </w:r>
    </w:p>
    <w:p w14:paraId="128900E0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CF33B09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A2CA1D0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6D485E5C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0C58D94D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7950569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3AFD6DF4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276FF731" w14:textId="77777777" w:rsidR="007958F0" w:rsidRDefault="007958F0" w:rsidP="007958F0">
      <w:pPr>
        <w:rPr>
          <w:rFonts w:ascii="Arial" w:hAnsi="Arial" w:cs="Arial"/>
          <w:color w:val="202020"/>
          <w:sz w:val="22"/>
          <w:szCs w:val="22"/>
          <w:lang w:val="en-US"/>
        </w:rPr>
      </w:pPr>
    </w:p>
    <w:p w14:paraId="0D6AEC91" w14:textId="77777777" w:rsidR="007958F0" w:rsidRDefault="007958F0" w:rsidP="007958F0">
      <w:pPr>
        <w:rPr>
          <w:rFonts w:ascii="Arial" w:hAnsi="Arial" w:cs="Arial"/>
          <w:color w:val="202020"/>
          <w:sz w:val="22"/>
          <w:szCs w:val="22"/>
          <w:lang w:val="en-US"/>
        </w:rPr>
      </w:pPr>
    </w:p>
    <w:p w14:paraId="5A024161" w14:textId="77777777" w:rsidR="007958F0" w:rsidRDefault="007958F0" w:rsidP="007958F0">
      <w:pPr>
        <w:rPr>
          <w:rFonts w:ascii="Arial" w:hAnsi="Arial" w:cs="Arial"/>
          <w:color w:val="202020"/>
          <w:sz w:val="22"/>
          <w:szCs w:val="22"/>
          <w:lang w:val="en-US"/>
        </w:rPr>
      </w:pPr>
    </w:p>
    <w:p w14:paraId="239303C0" w14:textId="77777777" w:rsidR="007958F0" w:rsidRDefault="007958F0" w:rsidP="007958F0">
      <w:pPr>
        <w:rPr>
          <w:rFonts w:ascii="Arial" w:hAnsi="Arial" w:cs="Arial"/>
          <w:color w:val="202020"/>
          <w:sz w:val="22"/>
          <w:szCs w:val="22"/>
          <w:lang w:val="en-US"/>
        </w:rPr>
      </w:pPr>
    </w:p>
    <w:p w14:paraId="5A03AA99" w14:textId="77777777" w:rsidR="007958F0" w:rsidRDefault="007958F0" w:rsidP="007958F0">
      <w:pPr>
        <w:rPr>
          <w:rFonts w:ascii="Arial" w:hAnsi="Arial" w:cs="Arial"/>
          <w:color w:val="202020"/>
          <w:sz w:val="22"/>
          <w:szCs w:val="22"/>
          <w:lang w:val="en-US"/>
        </w:rPr>
      </w:pPr>
    </w:p>
    <w:p w14:paraId="59B4A538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023335EE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01A8A41C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3DAC85F0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1E9B28C4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4177B31B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281EECB9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456C4DD9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66F35319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1FC7DB0C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512B2397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7F013596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6C71C49C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63907E18" w14:textId="77777777" w:rsidR="007958F0" w:rsidRDefault="007958F0" w:rsidP="007958F0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39424E70" w14:textId="77777777" w:rsidR="007958F0" w:rsidRPr="00070137" w:rsidRDefault="007958F0" w:rsidP="007958F0">
      <w:pPr>
        <w:spacing w:line="360" w:lineRule="auto"/>
        <w:jc w:val="both"/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</w:pPr>
      <w:r>
        <w:rPr>
          <w:rFonts w:ascii="Arial" w:hAnsi="Arial" w:cs="Arial"/>
          <w:noProof/>
          <w:color w:val="202020"/>
          <w:sz w:val="22"/>
          <w:szCs w:val="22"/>
          <w:lang w:val="en-US"/>
        </w:rPr>
        <w:lastRenderedPageBreak/>
        <w:drawing>
          <wp:anchor distT="0" distB="0" distL="114300" distR="114300" simplePos="0" relativeHeight="251663360" behindDoc="1" locked="0" layoutInCell="1" allowOverlap="1" wp14:anchorId="57F6F89C" wp14:editId="38AC4C5E">
            <wp:simplePos x="0" y="0"/>
            <wp:positionH relativeFrom="column">
              <wp:posOffset>0</wp:posOffset>
            </wp:positionH>
            <wp:positionV relativeFrom="paragraph">
              <wp:posOffset>183</wp:posOffset>
            </wp:positionV>
            <wp:extent cx="6858000" cy="5721985"/>
            <wp:effectExtent l="0" t="0" r="0" b="5715"/>
            <wp:wrapTight wrapText="bothSides">
              <wp:wrapPolygon edited="0">
                <wp:start x="0" y="0"/>
                <wp:lineTo x="0" y="21574"/>
                <wp:lineTo x="21560" y="21574"/>
                <wp:lineTo x="21560" y="0"/>
                <wp:lineTo x="0" y="0"/>
              </wp:wrapPolygon>
            </wp:wrapTight>
            <wp:docPr id="6" name="Picture 6" descr="A picture containing text, receip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text, receipt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721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S10 </w:t>
      </w:r>
      <w:r w:rsidRPr="00070137">
        <w:rPr>
          <w:rFonts w:ascii="Arial" w:hAnsi="Arial" w:cs="Arial"/>
          <w:b/>
          <w:bCs/>
          <w:sz w:val="22"/>
          <w:szCs w:val="22"/>
          <w:lang w:val="en-US"/>
        </w:rPr>
        <w:t>Figure</w:t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. </w:t>
      </w:r>
      <w:r w:rsidRPr="00070137">
        <w:rPr>
          <w:rFonts w:ascii="Arial" w:hAnsi="Arial" w:cs="Arial"/>
          <w:b/>
          <w:bCs/>
          <w:sz w:val="22"/>
          <w:szCs w:val="22"/>
          <w:lang w:val="en-US"/>
        </w:rPr>
        <w:t>DENV/ZIKV &amp; ZIKV/DENV infection sequences: CD8</w:t>
      </w:r>
      <w:r w:rsidRPr="005F12BF">
        <w:rPr>
          <w:rFonts w:ascii="Arial" w:hAnsi="Arial" w:cs="Arial"/>
          <w:b/>
          <w:bCs/>
          <w:sz w:val="22"/>
          <w:szCs w:val="22"/>
          <w:vertAlign w:val="superscript"/>
          <w:lang w:val="en-US"/>
        </w:rPr>
        <w:t>+</w:t>
      </w:r>
      <w:r w:rsidRPr="005F12BF">
        <w:rPr>
          <w:rFonts w:ascii="Arial" w:hAnsi="Arial" w:cs="Arial"/>
          <w:b/>
          <w:bCs/>
          <w:sz w:val="22"/>
          <w:szCs w:val="22"/>
          <w:lang w:val="en-US"/>
        </w:rPr>
        <w:t xml:space="preserve"> T c</w:t>
      </w:r>
      <w:r w:rsidRPr="005F12BF">
        <w:rPr>
          <w:rFonts w:ascii="Arial" w:hAnsi="Arial" w:cs="Arial"/>
          <w:b/>
          <w:bCs/>
          <w:color w:val="202020"/>
          <w:sz w:val="22"/>
          <w:szCs w:val="22"/>
        </w:rPr>
        <w:t xml:space="preserve">ells profile before and after </w:t>
      </w:r>
      <w:r w:rsidRPr="005F12BF">
        <w:rPr>
          <w:rFonts w:ascii="Arial" w:hAnsi="Arial" w:cs="Arial"/>
          <w:b/>
          <w:bCs/>
          <w:color w:val="202020"/>
          <w:sz w:val="22"/>
          <w:szCs w:val="22"/>
          <w:lang w:val="en-US"/>
        </w:rPr>
        <w:t>DENV-4</w:t>
      </w:r>
      <w:r w:rsidRPr="005F12BF">
        <w:rPr>
          <w:rFonts w:ascii="Arial" w:hAnsi="Arial" w:cs="Arial"/>
          <w:b/>
          <w:bCs/>
          <w:color w:val="202020"/>
          <w:sz w:val="22"/>
          <w:szCs w:val="22"/>
        </w:rPr>
        <w:t xml:space="preserve"> infection.</w:t>
      </w:r>
      <w:r w:rsidRPr="005F12BF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</w:rPr>
        <w:t>CD8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  <w:vertAlign w:val="superscript"/>
        </w:rPr>
        <w:t>+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</w:rPr>
        <w:t> T-cell compartments</w:t>
      </w:r>
      <w:r w:rsidRPr="00070137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 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for experiment 2 (</w:t>
      </w:r>
      <w:r w:rsidRPr="00586FDB">
        <w:rPr>
          <w:rFonts w:ascii="Arial" w:hAnsi="Arial" w:cs="Arial"/>
          <w:i/>
          <w:iCs/>
          <w:color w:val="222222"/>
          <w:sz w:val="22"/>
          <w:szCs w:val="22"/>
          <w:shd w:val="clear" w:color="auto" w:fill="FFFFFF"/>
          <w:lang w:val="en-US"/>
        </w:rPr>
        <w:t>n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= 20) </w:t>
      </w:r>
      <w:r w:rsidRPr="00070137">
        <w:rPr>
          <w:rFonts w:ascii="Arial" w:hAnsi="Arial" w:cs="Arial"/>
          <w:color w:val="202020"/>
          <w:sz w:val="22"/>
          <w:szCs w:val="22"/>
          <w:shd w:val="clear" w:color="auto" w:fill="FFFFFF"/>
        </w:rPr>
        <w:t>w</w:t>
      </w:r>
      <w:r w:rsidRPr="00070137"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>ere</w:t>
      </w:r>
      <w:r w:rsidRPr="00070137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assessed</w:t>
      </w:r>
      <w:r w:rsidRPr="00070137"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 xml:space="preserve"> by immunophenotyping using flow cytometry 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>(</w:t>
      </w:r>
      <w:r w:rsidRPr="00EF4DDB">
        <w:rPr>
          <w:rFonts w:ascii="Arial" w:hAnsi="Arial" w:cs="Arial"/>
          <w:color w:val="222222"/>
          <w:sz w:val="22"/>
          <w:szCs w:val="22"/>
          <w:shd w:val="clear" w:color="auto" w:fill="FFFFFF"/>
        </w:rPr>
        <w:t>S</w:t>
      </w:r>
      <w:r w:rsidRPr="00EF4DDB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1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1</w:t>
      </w:r>
      <w:r w:rsidRPr="00EF4DDB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 </w:t>
      </w:r>
      <w:r w:rsidRPr="00EF4DDB">
        <w:rPr>
          <w:rFonts w:ascii="Arial" w:hAnsi="Arial" w:cs="Arial"/>
          <w:color w:val="222222"/>
          <w:sz w:val="22"/>
          <w:szCs w:val="22"/>
          <w:shd w:val="clear" w:color="auto" w:fill="FFFFFF"/>
        </w:rPr>
        <w:t>Fig</w:t>
      </w:r>
      <w:r w:rsidRPr="00EF4DDB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 </w:t>
      </w:r>
      <w:r w:rsidRPr="00EF4DDB">
        <w:rPr>
          <w:rFonts w:ascii="Arial" w:hAnsi="Arial" w:cs="Arial"/>
          <w:color w:val="222222"/>
          <w:sz w:val="22"/>
          <w:szCs w:val="22"/>
          <w:shd w:val="clear" w:color="auto" w:fill="FFFFFF"/>
        </w:rPr>
        <w:t>for gating strategy)</w:t>
      </w:r>
      <w:r w:rsidRPr="005F12BF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during baseline and days </w:t>
      </w:r>
      <w:r w:rsidRPr="005F12BF"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>1 through 3, 7, 10, 15, and 30 post-infection</w:t>
      </w:r>
      <w:r w:rsidRPr="005F12BF">
        <w:rPr>
          <w:rFonts w:ascii="Arial" w:hAnsi="Arial" w:cs="Arial"/>
          <w:color w:val="202020"/>
          <w:sz w:val="22"/>
          <w:szCs w:val="22"/>
          <w:shd w:val="clear" w:color="auto" w:fill="FFFFFF"/>
        </w:rPr>
        <w:t>.</w:t>
      </w:r>
      <w:r w:rsidRPr="005F12BF"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 xml:space="preserve"> </w:t>
      </w:r>
      <w:r w:rsidRPr="005F12BF">
        <w:rPr>
          <w:rFonts w:ascii="Arial" w:hAnsi="Arial" w:cs="Arial"/>
          <w:color w:val="000000" w:themeColor="text1"/>
          <w:sz w:val="22"/>
          <w:szCs w:val="22"/>
          <w:lang w:val="en-US"/>
        </w:rPr>
        <w:t>Animals depleted of CD4</w:t>
      </w:r>
      <w:r w:rsidRPr="005F12BF">
        <w:rPr>
          <w:rFonts w:ascii="Arial" w:hAnsi="Arial" w:cs="Arial"/>
          <w:color w:val="000000" w:themeColor="text1"/>
          <w:sz w:val="22"/>
          <w:szCs w:val="22"/>
          <w:vertAlign w:val="superscript"/>
          <w:lang w:val="en-US"/>
        </w:rPr>
        <w:t>+</w:t>
      </w:r>
      <w:r w:rsidRPr="005F12BF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T cells are shown in red (DENV-primed) and purple (ZIKV-</w:t>
      </w:r>
      <w:r w:rsidRPr="005F12BF">
        <w:rPr>
          <w:rFonts w:ascii="Arial" w:hAnsi="Arial" w:cs="Arial"/>
          <w:color w:val="000000" w:themeColor="text1"/>
          <w:sz w:val="22"/>
          <w:szCs w:val="22"/>
          <w:lang w:val="en-US"/>
        </w:rPr>
        <w:lastRenderedPageBreak/>
        <w:t xml:space="preserve">primed), DENV and ZIKV immune-competent animals are shown in blue and green, and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flavivirus-</w:t>
      </w:r>
      <w:r w:rsidRPr="005F12BF">
        <w:rPr>
          <w:rFonts w:ascii="Arial" w:hAnsi="Arial" w:cs="Arial"/>
          <w:color w:val="000000" w:themeColor="text1"/>
          <w:sz w:val="22"/>
          <w:szCs w:val="22"/>
          <w:lang w:val="en-US"/>
        </w:rPr>
        <w:t>naïve animals are shown in black in all panels.</w:t>
      </w:r>
      <w:r w:rsidRPr="005F12BF"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 xml:space="preserve"> 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Frequency and a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ctivation of 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naïve, 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</w:rPr>
        <w:t>effector</w:t>
      </w:r>
      <w:r w:rsidRPr="00070137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 (EM)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and central memory</w:t>
      </w:r>
      <w:r w:rsidRPr="00070137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 (CM)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CD8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  <w:vertAlign w:val="superscript"/>
        </w:rPr>
        <w:t>+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</w:rPr>
        <w:t> T cells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.</w:t>
      </w:r>
      <w:r w:rsidRPr="00070137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 (A-D) Number of naïve and activated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 (CD69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  <w:vertAlign w:val="superscript"/>
          <w:lang w:val="en-US"/>
        </w:rPr>
        <w:t>+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) naïve CD8 T cells (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</w:rPr>
        <w:t>CD3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  <w:vertAlign w:val="superscript"/>
        </w:rPr>
        <w:t>+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</w:rPr>
        <w:t>CD4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  <w:vertAlign w:val="superscript"/>
        </w:rPr>
        <w:t>+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</w:rPr>
        <w:t>CD28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  <w:vertAlign w:val="superscript"/>
        </w:rPr>
        <w:t>+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</w:rPr>
        <w:t>CD95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  <w:vertAlign w:val="superscript"/>
        </w:rPr>
        <w:t>−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)</w:t>
      </w:r>
      <w:r w:rsidRPr="00070137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. (E-H) Number of EM and activated EM CD8 T cells 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(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</w:rPr>
        <w:t>T-EM: CD3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  <w:vertAlign w:val="superscript"/>
        </w:rPr>
        <w:t>+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</w:rPr>
        <w:t>CD4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  <w:vertAlign w:val="superscript"/>
        </w:rPr>
        <w:t>+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</w:rPr>
        <w:t>CD28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  <w:vertAlign w:val="superscript"/>
        </w:rPr>
        <w:t>−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</w:rPr>
        <w:t>CD95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  <w:vertAlign w:val="superscript"/>
        </w:rPr>
        <w:t>+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</w:rPr>
        <w:t>)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. (I-L)</w:t>
      </w:r>
      <w:r w:rsidRPr="00070137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 Number of CM and activated C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M CD8 T cells (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</w:rPr>
        <w:t>T-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C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</w:rPr>
        <w:t>M: CD3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  <w:vertAlign w:val="superscript"/>
        </w:rPr>
        <w:t>+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</w:rPr>
        <w:t>CD4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  <w:vertAlign w:val="superscript"/>
        </w:rPr>
        <w:t>+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</w:rPr>
        <w:t>CD28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  <w:vertAlign w:val="superscript"/>
        </w:rPr>
        <w:t>+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</w:rPr>
        <w:t>CD95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  <w:vertAlign w:val="superscript"/>
        </w:rPr>
        <w:t>+</w:t>
      </w:r>
      <w:r w:rsidRPr="005F12BF">
        <w:rPr>
          <w:rFonts w:ascii="Arial" w:hAnsi="Arial" w:cs="Arial"/>
          <w:color w:val="222222"/>
          <w:sz w:val="22"/>
          <w:szCs w:val="22"/>
          <w:shd w:val="clear" w:color="auto" w:fill="FFFFFF"/>
        </w:rPr>
        <w:t>)</w:t>
      </w:r>
      <w:r w:rsidRPr="00070137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. </w:t>
      </w:r>
    </w:p>
    <w:p w14:paraId="3FC7F1DC" w14:textId="77777777" w:rsidR="007958F0" w:rsidRPr="005F12BF" w:rsidRDefault="007958F0" w:rsidP="007958F0">
      <w:pPr>
        <w:jc w:val="both"/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</w:pPr>
    </w:p>
    <w:p w14:paraId="74965039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4590899A" w14:textId="77777777" w:rsidR="007958F0" w:rsidRDefault="007958F0" w:rsidP="007958F0">
      <w:pPr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</w:pPr>
    </w:p>
    <w:p w14:paraId="54FBAC31" w14:textId="77777777" w:rsidR="007958F0" w:rsidRDefault="007958F0" w:rsidP="007958F0">
      <w:pPr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</w:pPr>
    </w:p>
    <w:p w14:paraId="5609A612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  <w:r>
        <w:rPr>
          <w:rFonts w:ascii="Arial" w:hAnsi="Arial" w:cs="Arial"/>
          <w:noProof/>
          <w:color w:val="202020"/>
          <w:sz w:val="22"/>
          <w:szCs w:val="22"/>
          <w:lang w:val="en-US"/>
        </w:rPr>
        <w:lastRenderedPageBreak/>
        <w:drawing>
          <wp:anchor distT="0" distB="0" distL="114300" distR="114300" simplePos="0" relativeHeight="251664384" behindDoc="1" locked="0" layoutInCell="1" allowOverlap="1" wp14:anchorId="44FA87DE" wp14:editId="5A3B21B2">
            <wp:simplePos x="0" y="0"/>
            <wp:positionH relativeFrom="column">
              <wp:posOffset>0</wp:posOffset>
            </wp:positionH>
            <wp:positionV relativeFrom="paragraph">
              <wp:posOffset>162560</wp:posOffset>
            </wp:positionV>
            <wp:extent cx="6858000" cy="4878705"/>
            <wp:effectExtent l="0" t="0" r="0" b="0"/>
            <wp:wrapTight wrapText="bothSides">
              <wp:wrapPolygon edited="0">
                <wp:start x="0" y="0"/>
                <wp:lineTo x="0" y="21535"/>
                <wp:lineTo x="21560" y="21535"/>
                <wp:lineTo x="21560" y="0"/>
                <wp:lineTo x="0" y="0"/>
              </wp:wrapPolygon>
            </wp:wrapTight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878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34EB50" w14:textId="77777777" w:rsidR="007958F0" w:rsidRPr="00DE6513" w:rsidRDefault="007958F0" w:rsidP="007958F0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  <w:r w:rsidRPr="003B1603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S</w:t>
      </w:r>
      <w: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11</w:t>
      </w:r>
      <w:r w:rsidRPr="003B1603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</w:t>
      </w:r>
      <w:r w:rsidRPr="003B1603">
        <w:rPr>
          <w:rFonts w:ascii="Arial" w:hAnsi="Arial" w:cs="Arial"/>
          <w:b/>
          <w:bCs/>
          <w:sz w:val="22"/>
          <w:szCs w:val="22"/>
          <w:lang w:val="en-US"/>
        </w:rPr>
        <w:t xml:space="preserve">Figure. </w:t>
      </w:r>
      <w:r w:rsidRPr="00C41F3B">
        <w:rPr>
          <w:rFonts w:ascii="Arial" w:hAnsi="Arial" w:cs="Arial"/>
          <w:b/>
          <w:bCs/>
          <w:sz w:val="22"/>
          <w:szCs w:val="22"/>
        </w:rPr>
        <w:t xml:space="preserve">Gating strategy for immunophenotyping and activation of </w:t>
      </w:r>
      <w:r>
        <w:rPr>
          <w:rFonts w:ascii="Arial" w:hAnsi="Arial" w:cs="Arial"/>
          <w:b/>
          <w:bCs/>
          <w:sz w:val="22"/>
          <w:szCs w:val="22"/>
          <w:lang w:val="en-US"/>
        </w:rPr>
        <w:t>T</w:t>
      </w:r>
      <w:r w:rsidRPr="00C41F3B">
        <w:rPr>
          <w:rFonts w:ascii="Arial" w:hAnsi="Arial" w:cs="Arial"/>
          <w:b/>
          <w:bCs/>
          <w:sz w:val="22"/>
          <w:szCs w:val="22"/>
        </w:rPr>
        <w:t xml:space="preserve"> cells</w:t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Pr="00C41F3B">
        <w:rPr>
          <w:rFonts w:ascii="Arial" w:hAnsi="Arial" w:cs="Arial"/>
          <w:b/>
          <w:bCs/>
          <w:sz w:val="22"/>
          <w:szCs w:val="22"/>
        </w:rPr>
        <w:t>and subpopulations</w:t>
      </w:r>
      <w:r>
        <w:rPr>
          <w:rFonts w:ascii="Arial" w:hAnsi="Arial" w:cs="Arial"/>
          <w:b/>
          <w:bCs/>
          <w:sz w:val="22"/>
          <w:szCs w:val="22"/>
          <w:lang w:val="en-US"/>
        </w:rPr>
        <w:t xml:space="preserve">. </w:t>
      </w:r>
      <w:r w:rsidRPr="00C41F3B">
        <w:rPr>
          <w:rFonts w:ascii="Arial" w:hAnsi="Arial" w:cs="Arial"/>
          <w:sz w:val="22"/>
          <w:szCs w:val="22"/>
        </w:rPr>
        <w:t>Single cells (singlets) were selected by their FSC area (FSC-A) and height (FSC-H) patterns. Lymphocytes (LYM) were gated based on their characteristic forward and side scatter pattern (FSC, SSC). T cells were selected gating on the CD3</w:t>
      </w:r>
      <w:r w:rsidRPr="00EF4DDB">
        <w:rPr>
          <w:rFonts w:ascii="Arial" w:hAnsi="Arial" w:cs="Arial"/>
          <w:sz w:val="22"/>
          <w:szCs w:val="22"/>
          <w:vertAlign w:val="superscript"/>
        </w:rPr>
        <w:t>+</w:t>
      </w:r>
      <w:r w:rsidRPr="00C41F3B">
        <w:rPr>
          <w:rFonts w:ascii="Arial" w:hAnsi="Arial" w:cs="Arial"/>
          <w:sz w:val="22"/>
          <w:szCs w:val="22"/>
        </w:rPr>
        <w:t xml:space="preserve"> population. CD4</w:t>
      </w:r>
      <w:r w:rsidRPr="00EF4DDB">
        <w:rPr>
          <w:rFonts w:ascii="Arial" w:hAnsi="Arial" w:cs="Arial"/>
          <w:sz w:val="22"/>
          <w:szCs w:val="22"/>
          <w:vertAlign w:val="superscript"/>
        </w:rPr>
        <w:t>+</w:t>
      </w:r>
      <w:r w:rsidRPr="00C41F3B">
        <w:rPr>
          <w:rFonts w:ascii="Arial" w:hAnsi="Arial" w:cs="Arial"/>
          <w:sz w:val="22"/>
          <w:szCs w:val="22"/>
        </w:rPr>
        <w:t xml:space="preserve"> and CD8</w:t>
      </w:r>
      <w:r w:rsidRPr="00EF4DDB">
        <w:rPr>
          <w:rFonts w:ascii="Arial" w:hAnsi="Arial" w:cs="Arial"/>
          <w:sz w:val="22"/>
          <w:szCs w:val="22"/>
          <w:vertAlign w:val="superscript"/>
        </w:rPr>
        <w:t>+</w:t>
      </w:r>
      <w:r w:rsidRPr="00C41F3B">
        <w:rPr>
          <w:rFonts w:ascii="Arial" w:hAnsi="Arial" w:cs="Arial"/>
          <w:sz w:val="22"/>
          <w:szCs w:val="22"/>
        </w:rPr>
        <w:t xml:space="preserve"> T cells were defined as CD3</w:t>
      </w:r>
      <w:r w:rsidRPr="00EF4DDB">
        <w:rPr>
          <w:rFonts w:ascii="Arial" w:hAnsi="Arial" w:cs="Arial"/>
          <w:sz w:val="22"/>
          <w:szCs w:val="22"/>
          <w:vertAlign w:val="superscript"/>
        </w:rPr>
        <w:t>+</w:t>
      </w:r>
      <w:r w:rsidRPr="00C41F3B">
        <w:rPr>
          <w:rFonts w:ascii="Arial" w:hAnsi="Arial" w:cs="Arial"/>
          <w:sz w:val="22"/>
          <w:szCs w:val="22"/>
        </w:rPr>
        <w:t>CD4</w:t>
      </w:r>
      <w:r w:rsidRPr="00EF4DDB">
        <w:rPr>
          <w:rFonts w:ascii="Arial" w:hAnsi="Arial" w:cs="Arial"/>
          <w:sz w:val="22"/>
          <w:szCs w:val="22"/>
          <w:vertAlign w:val="superscript"/>
        </w:rPr>
        <w:t>+</w:t>
      </w:r>
      <w:r w:rsidRPr="00C41F3B">
        <w:rPr>
          <w:rFonts w:ascii="Arial" w:hAnsi="Arial" w:cs="Arial"/>
          <w:sz w:val="22"/>
          <w:szCs w:val="22"/>
        </w:rPr>
        <w:t xml:space="preserve"> and CD3</w:t>
      </w:r>
      <w:r w:rsidRPr="00EF4DDB">
        <w:rPr>
          <w:rFonts w:ascii="Arial" w:hAnsi="Arial" w:cs="Arial"/>
          <w:sz w:val="22"/>
          <w:szCs w:val="22"/>
          <w:vertAlign w:val="superscript"/>
        </w:rPr>
        <w:t>+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C41F3B">
        <w:rPr>
          <w:rFonts w:ascii="Arial" w:hAnsi="Arial" w:cs="Arial"/>
          <w:sz w:val="22"/>
          <w:szCs w:val="22"/>
        </w:rPr>
        <w:t>CD8</w:t>
      </w:r>
      <w:r w:rsidRPr="00EF4DDB">
        <w:rPr>
          <w:rFonts w:ascii="Arial" w:hAnsi="Arial" w:cs="Arial"/>
          <w:sz w:val="22"/>
          <w:szCs w:val="22"/>
          <w:vertAlign w:val="superscript"/>
        </w:rPr>
        <w:t>+</w:t>
      </w:r>
      <w:r w:rsidRPr="00C41F3B">
        <w:rPr>
          <w:rFonts w:ascii="Arial" w:hAnsi="Arial" w:cs="Arial"/>
          <w:sz w:val="22"/>
          <w:szCs w:val="22"/>
        </w:rPr>
        <w:t xml:space="preserve"> , </w:t>
      </w:r>
      <w:r w:rsidRPr="00C41F3B">
        <w:rPr>
          <w:rFonts w:ascii="Arial" w:hAnsi="Arial" w:cs="Arial"/>
          <w:sz w:val="22"/>
          <w:szCs w:val="22"/>
        </w:rPr>
        <w:lastRenderedPageBreak/>
        <w:t>respectively. Naive (N; CD28</w:t>
      </w:r>
      <w:r w:rsidRPr="00EF4DDB">
        <w:rPr>
          <w:rFonts w:ascii="Arial" w:hAnsi="Arial" w:cs="Arial"/>
          <w:sz w:val="22"/>
          <w:szCs w:val="22"/>
          <w:vertAlign w:val="superscript"/>
        </w:rPr>
        <w:t>+</w:t>
      </w:r>
      <w:r w:rsidRPr="00C41F3B">
        <w:rPr>
          <w:rFonts w:ascii="Arial" w:hAnsi="Arial" w:cs="Arial"/>
          <w:sz w:val="22"/>
          <w:szCs w:val="22"/>
        </w:rPr>
        <w:t>CD95</w:t>
      </w:r>
      <w:r w:rsidRPr="00EF4DDB">
        <w:rPr>
          <w:rFonts w:ascii="Arial" w:hAnsi="Arial" w:cs="Arial"/>
          <w:sz w:val="22"/>
          <w:szCs w:val="22"/>
          <w:vertAlign w:val="superscript"/>
        </w:rPr>
        <w:t xml:space="preserve">- </w:t>
      </w:r>
      <w:r w:rsidRPr="00C41F3B">
        <w:rPr>
          <w:rFonts w:ascii="Arial" w:hAnsi="Arial" w:cs="Arial"/>
          <w:sz w:val="22"/>
          <w:szCs w:val="22"/>
        </w:rPr>
        <w:t>), effector memory (EM; CD28</w:t>
      </w:r>
      <w:r w:rsidRPr="00EF4DDB">
        <w:rPr>
          <w:rFonts w:ascii="Arial" w:hAnsi="Arial" w:cs="Arial"/>
          <w:sz w:val="22"/>
          <w:szCs w:val="22"/>
          <w:vertAlign w:val="superscript"/>
        </w:rPr>
        <w:t>-</w:t>
      </w:r>
      <w:r w:rsidRPr="00C41F3B">
        <w:rPr>
          <w:rFonts w:ascii="Arial" w:hAnsi="Arial" w:cs="Arial"/>
          <w:sz w:val="22"/>
          <w:szCs w:val="22"/>
        </w:rPr>
        <w:t>CD95</w:t>
      </w:r>
      <w:r w:rsidRPr="00EF4DDB">
        <w:rPr>
          <w:rFonts w:ascii="Arial" w:hAnsi="Arial" w:cs="Arial"/>
          <w:sz w:val="22"/>
          <w:szCs w:val="22"/>
          <w:vertAlign w:val="superscript"/>
        </w:rPr>
        <w:t>+</w:t>
      </w:r>
      <w:r w:rsidRPr="00C41F3B">
        <w:rPr>
          <w:rFonts w:ascii="Arial" w:hAnsi="Arial" w:cs="Arial"/>
          <w:sz w:val="22"/>
          <w:szCs w:val="22"/>
        </w:rPr>
        <w:t xml:space="preserve"> ) and central memory (CM;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C41F3B">
        <w:rPr>
          <w:rFonts w:ascii="Arial" w:hAnsi="Arial" w:cs="Arial"/>
          <w:sz w:val="22"/>
          <w:szCs w:val="22"/>
        </w:rPr>
        <w:t>CD28</w:t>
      </w:r>
      <w:r w:rsidRPr="00EF4DDB">
        <w:rPr>
          <w:rFonts w:ascii="Arial" w:hAnsi="Arial" w:cs="Arial"/>
          <w:sz w:val="22"/>
          <w:szCs w:val="22"/>
          <w:vertAlign w:val="superscript"/>
        </w:rPr>
        <w:t>+</w:t>
      </w:r>
      <w:r w:rsidRPr="00C41F3B">
        <w:rPr>
          <w:rFonts w:ascii="Arial" w:hAnsi="Arial" w:cs="Arial"/>
          <w:sz w:val="22"/>
          <w:szCs w:val="22"/>
        </w:rPr>
        <w:t>CD95</w:t>
      </w:r>
      <w:r w:rsidRPr="00EF4DDB">
        <w:rPr>
          <w:rFonts w:ascii="Arial" w:hAnsi="Arial" w:cs="Arial"/>
          <w:sz w:val="22"/>
          <w:szCs w:val="22"/>
          <w:vertAlign w:val="superscript"/>
        </w:rPr>
        <w:t>+</w:t>
      </w:r>
      <w:r w:rsidRPr="00C41F3B">
        <w:rPr>
          <w:rFonts w:ascii="Arial" w:hAnsi="Arial" w:cs="Arial"/>
          <w:sz w:val="22"/>
          <w:szCs w:val="22"/>
        </w:rPr>
        <w:t xml:space="preserve"> ) T cell subpopulations were determined within CD8</w:t>
      </w:r>
      <w:r w:rsidRPr="00EF4DDB">
        <w:rPr>
          <w:rFonts w:ascii="Arial" w:hAnsi="Arial" w:cs="Arial"/>
          <w:sz w:val="22"/>
          <w:szCs w:val="22"/>
          <w:vertAlign w:val="superscript"/>
        </w:rPr>
        <w:t>+</w:t>
      </w:r>
      <w:r w:rsidRPr="00C41F3B">
        <w:rPr>
          <w:rFonts w:ascii="Arial" w:hAnsi="Arial" w:cs="Arial"/>
          <w:sz w:val="22"/>
          <w:szCs w:val="22"/>
        </w:rPr>
        <w:t xml:space="preserve"> T cells.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C41F3B">
        <w:rPr>
          <w:rFonts w:ascii="Arial" w:hAnsi="Arial" w:cs="Arial"/>
          <w:sz w:val="22"/>
          <w:szCs w:val="22"/>
        </w:rPr>
        <w:t xml:space="preserve">The activation of </w:t>
      </w:r>
      <w:r>
        <w:rPr>
          <w:rFonts w:ascii="Arial" w:hAnsi="Arial" w:cs="Arial"/>
          <w:sz w:val="22"/>
          <w:szCs w:val="22"/>
          <w:lang w:val="en-US"/>
        </w:rPr>
        <w:t>T</w:t>
      </w:r>
      <w:r w:rsidRPr="00C41F3B"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sz w:val="22"/>
          <w:szCs w:val="22"/>
          <w:lang w:val="en-US"/>
        </w:rPr>
        <w:t xml:space="preserve">memory </w:t>
      </w:r>
      <w:r w:rsidRPr="00C41F3B">
        <w:rPr>
          <w:rFonts w:ascii="Arial" w:hAnsi="Arial" w:cs="Arial"/>
          <w:sz w:val="22"/>
          <w:szCs w:val="22"/>
        </w:rPr>
        <w:t>subpopulations was assessed by the presence of the early activation marker CD69</w:t>
      </w:r>
      <w:r w:rsidRPr="00DE6513">
        <w:rPr>
          <w:rFonts w:ascii="Arial" w:hAnsi="Arial" w:cs="Arial"/>
          <w:sz w:val="22"/>
          <w:szCs w:val="22"/>
          <w:vertAlign w:val="superscript"/>
          <w:lang w:val="en-US"/>
        </w:rPr>
        <w:t>+</w:t>
      </w:r>
      <w:r>
        <w:rPr>
          <w:rFonts w:ascii="Arial" w:hAnsi="Arial" w:cs="Arial"/>
          <w:sz w:val="22"/>
          <w:szCs w:val="22"/>
          <w:lang w:val="en-US"/>
        </w:rPr>
        <w:t>.</w:t>
      </w:r>
    </w:p>
    <w:p w14:paraId="48342FAF" w14:textId="77777777" w:rsidR="007958F0" w:rsidRPr="00EF4DDB" w:rsidRDefault="007958F0" w:rsidP="007958F0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15161B54" w14:textId="77777777" w:rsidR="007958F0" w:rsidRDefault="007958F0" w:rsidP="007958F0">
      <w:pPr>
        <w:jc w:val="both"/>
        <w:rPr>
          <w:rFonts w:ascii="Arial" w:hAnsi="Arial" w:cs="Arial"/>
          <w:sz w:val="22"/>
          <w:szCs w:val="22"/>
        </w:rPr>
      </w:pPr>
    </w:p>
    <w:p w14:paraId="0C231553" w14:textId="77777777" w:rsidR="007958F0" w:rsidRDefault="007958F0" w:rsidP="007958F0">
      <w:pPr>
        <w:jc w:val="both"/>
        <w:rPr>
          <w:rFonts w:ascii="Arial" w:hAnsi="Arial" w:cs="Arial"/>
          <w:sz w:val="22"/>
          <w:szCs w:val="22"/>
        </w:rPr>
      </w:pPr>
    </w:p>
    <w:p w14:paraId="38F5C048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46DE6DA9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5E21CEA0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5200AEFC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7F45D1BC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348C117C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7C878302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75B9D012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7470358D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0FC35B89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549B4D3E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64EF1F62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  <w:r>
        <w:rPr>
          <w:rFonts w:ascii="Arial" w:hAnsi="Arial" w:cs="Arial"/>
          <w:b/>
          <w:bCs/>
          <w:noProof/>
          <w:sz w:val="22"/>
          <w:szCs w:val="22"/>
          <w:lang w:val="en-US"/>
        </w:rPr>
        <w:lastRenderedPageBreak/>
        <w:drawing>
          <wp:anchor distT="0" distB="0" distL="114300" distR="114300" simplePos="0" relativeHeight="251661312" behindDoc="1" locked="0" layoutInCell="1" allowOverlap="1" wp14:anchorId="29887F89" wp14:editId="74916463">
            <wp:simplePos x="0" y="0"/>
            <wp:positionH relativeFrom="column">
              <wp:posOffset>824230</wp:posOffset>
            </wp:positionH>
            <wp:positionV relativeFrom="paragraph">
              <wp:posOffset>-11</wp:posOffset>
            </wp:positionV>
            <wp:extent cx="5354955" cy="6772275"/>
            <wp:effectExtent l="0" t="0" r="4445" b="0"/>
            <wp:wrapTight wrapText="bothSides">
              <wp:wrapPolygon edited="0">
                <wp:start x="0" y="0"/>
                <wp:lineTo x="0" y="21549"/>
                <wp:lineTo x="21567" y="21549"/>
                <wp:lineTo x="21567" y="0"/>
                <wp:lineTo x="0" y="0"/>
              </wp:wrapPolygon>
            </wp:wrapTight>
            <wp:docPr id="21" name="Picture 2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Diagram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4955" cy="6772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93E6F7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79106EF0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067CEBE5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017269AA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1D4C5E73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15D02465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6D10E1A9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3BAE03F9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1DDB3529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7D93273B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1154EB43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01D22151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7554C7D6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50834B6A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57F0F6DA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523ADEC3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3780C950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62B7E02C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431FD738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37905403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36F3DAAC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4418BB52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03D71388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6D14FA9B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58DF00F9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7E352340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57964370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3AA5FCD3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0CE0FC07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2E31560F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35BF5C29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093F5B27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5E989ADE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1F7A1D3A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2AC00719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23DD196F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74257882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5C8D147A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2B5772E6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54DFAE94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2439597B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472A84DF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453839E6" w14:textId="77777777" w:rsidR="007958F0" w:rsidRDefault="007958F0" w:rsidP="007958F0">
      <w:pPr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14:paraId="1912130F" w14:textId="77777777" w:rsidR="007958F0" w:rsidRDefault="007958F0" w:rsidP="007958F0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  <w:r>
        <w:rPr>
          <w:rFonts w:ascii="Arial" w:hAnsi="Arial" w:cs="Arial"/>
          <w:b/>
          <w:bCs/>
          <w:sz w:val="22"/>
          <w:szCs w:val="22"/>
          <w:lang w:val="en-US"/>
        </w:rPr>
        <w:t xml:space="preserve">S12 </w:t>
      </w:r>
      <w:r w:rsidRPr="004F14D6">
        <w:rPr>
          <w:rFonts w:ascii="Arial" w:hAnsi="Arial" w:cs="Arial"/>
          <w:b/>
          <w:bCs/>
          <w:sz w:val="22"/>
          <w:szCs w:val="22"/>
          <w:lang w:val="en-US"/>
        </w:rPr>
        <w:t xml:space="preserve">Figure. </w:t>
      </w:r>
      <w:r w:rsidRPr="00FF330B">
        <w:rPr>
          <w:rFonts w:ascii="Arial" w:hAnsi="Arial" w:cs="Arial"/>
          <w:b/>
          <w:bCs/>
          <w:color w:val="202020"/>
          <w:sz w:val="22"/>
          <w:szCs w:val="22"/>
        </w:rPr>
        <w:t>Antigen-specific</w:t>
      </w:r>
      <w:r w:rsidRPr="00FF330B">
        <w:rPr>
          <w:rFonts w:ascii="Arial" w:hAnsi="Arial" w:cs="Arial"/>
          <w:b/>
          <w:bCs/>
          <w:color w:val="202020"/>
          <w:sz w:val="22"/>
          <w:szCs w:val="22"/>
          <w:lang w:val="en-US"/>
        </w:rPr>
        <w:t xml:space="preserve"> </w:t>
      </w:r>
      <w:r w:rsidRPr="00FF330B">
        <w:rPr>
          <w:rFonts w:ascii="Arial" w:hAnsi="Arial" w:cs="Arial"/>
          <w:b/>
          <w:bCs/>
          <w:color w:val="202020"/>
          <w:sz w:val="22"/>
          <w:szCs w:val="22"/>
        </w:rPr>
        <w:t>CD8</w:t>
      </w:r>
      <w:r w:rsidRPr="00FF330B">
        <w:rPr>
          <w:rFonts w:ascii="Arial" w:hAnsi="Arial" w:cs="Arial"/>
          <w:b/>
          <w:bCs/>
          <w:color w:val="202020"/>
          <w:sz w:val="22"/>
          <w:szCs w:val="22"/>
          <w:vertAlign w:val="superscript"/>
        </w:rPr>
        <w:t>+</w:t>
      </w:r>
      <w:r w:rsidRPr="00FF330B">
        <w:rPr>
          <w:rFonts w:ascii="Arial" w:hAnsi="Arial" w:cs="Arial"/>
          <w:b/>
          <w:bCs/>
          <w:color w:val="202020"/>
          <w:sz w:val="22"/>
          <w:szCs w:val="22"/>
        </w:rPr>
        <w:t> responses</w:t>
      </w:r>
      <w:r w:rsidRPr="00FF330B">
        <w:rPr>
          <w:rFonts w:ascii="Arial" w:hAnsi="Arial" w:cs="Arial"/>
          <w:b/>
          <w:bCs/>
          <w:color w:val="202020"/>
          <w:sz w:val="22"/>
          <w:szCs w:val="22"/>
          <w:lang w:val="en-US"/>
        </w:rPr>
        <w:t xml:space="preserve"> prior and after tertiary DENV4 infection</w:t>
      </w:r>
      <w:r>
        <w:rPr>
          <w:rFonts w:ascii="Arial" w:hAnsi="Arial" w:cs="Arial"/>
          <w:b/>
          <w:bCs/>
          <w:color w:val="202020"/>
          <w:sz w:val="22"/>
          <w:szCs w:val="22"/>
          <w:lang w:val="en-US"/>
        </w:rPr>
        <w:t xml:space="preserve">. </w:t>
      </w:r>
      <w:r w:rsidRPr="00FF330B">
        <w:rPr>
          <w:rFonts w:ascii="Arial" w:hAnsi="Arial" w:cs="Arial"/>
          <w:sz w:val="22"/>
          <w:szCs w:val="22"/>
        </w:rPr>
        <w:t>T cell functional effector response was determined by the quantification (%) of (</w:t>
      </w:r>
      <w:r>
        <w:rPr>
          <w:rFonts w:ascii="Arial" w:hAnsi="Arial" w:cs="Arial"/>
          <w:sz w:val="22"/>
          <w:szCs w:val="22"/>
          <w:lang w:val="en-US"/>
        </w:rPr>
        <w:t>A</w:t>
      </w:r>
      <w:r w:rsidRPr="00FF330B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  <w:lang w:val="en-US"/>
        </w:rPr>
        <w:t>B</w:t>
      </w:r>
      <w:r w:rsidRPr="00FF330B">
        <w:rPr>
          <w:rFonts w:ascii="Arial" w:hAnsi="Arial" w:cs="Arial"/>
          <w:sz w:val="22"/>
          <w:szCs w:val="22"/>
        </w:rPr>
        <w:t>) CD107a-expressing and (</w:t>
      </w:r>
      <w:r>
        <w:rPr>
          <w:rFonts w:ascii="Arial" w:hAnsi="Arial" w:cs="Arial"/>
          <w:sz w:val="22"/>
          <w:szCs w:val="22"/>
          <w:lang w:val="en-US"/>
        </w:rPr>
        <w:t>C</w:t>
      </w:r>
      <w:r w:rsidRPr="00FF330B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  <w:lang w:val="en-US"/>
        </w:rPr>
        <w:t>D</w:t>
      </w:r>
      <w:r w:rsidRPr="00FF330B">
        <w:rPr>
          <w:rFonts w:ascii="Arial" w:hAnsi="Arial" w:cs="Arial"/>
          <w:sz w:val="22"/>
          <w:szCs w:val="22"/>
        </w:rPr>
        <w:t>)</w:t>
      </w:r>
      <w:r w:rsidRPr="004F14D6">
        <w:rPr>
          <w:rFonts w:ascii="Arial" w:hAnsi="Arial" w:cs="Arial"/>
          <w:sz w:val="22"/>
          <w:szCs w:val="22"/>
          <w:lang w:val="en-US"/>
        </w:rPr>
        <w:t xml:space="preserve"> </w:t>
      </w:r>
      <w:r w:rsidRPr="00FF330B">
        <w:rPr>
          <w:rFonts w:ascii="Arial" w:hAnsi="Arial" w:cs="Arial"/>
          <w:color w:val="222222"/>
          <w:sz w:val="22"/>
          <w:szCs w:val="22"/>
          <w:shd w:val="clear" w:color="auto" w:fill="FFFFFF"/>
        </w:rPr>
        <w:t>) IFN-</w:t>
      </w:r>
      <w:r w:rsidRPr="00FF330B">
        <w:rPr>
          <w:rFonts w:ascii="Arial" w:hAnsi="Arial" w:cs="Arial" w:hint="eastAsia"/>
          <w:color w:val="222222"/>
          <w:sz w:val="22"/>
          <w:szCs w:val="22"/>
          <w:shd w:val="clear" w:color="auto" w:fill="FFFFFF"/>
        </w:rPr>
        <w:t>γ</w:t>
      </w:r>
      <w:r w:rsidRPr="00FF330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or (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E</w:t>
      </w:r>
      <w:r w:rsidRPr="00FF330B">
        <w:rPr>
          <w:rFonts w:ascii="Arial" w:hAnsi="Arial" w:cs="Arial"/>
          <w:color w:val="222222"/>
          <w:sz w:val="22"/>
          <w:szCs w:val="22"/>
          <w:shd w:val="clear" w:color="auto" w:fill="FFFFFF"/>
        </w:rPr>
        <w:t>–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F</w:t>
      </w:r>
      <w:r w:rsidRPr="00FF330B">
        <w:rPr>
          <w:rFonts w:ascii="Arial" w:hAnsi="Arial" w:cs="Arial"/>
          <w:color w:val="222222"/>
          <w:sz w:val="22"/>
          <w:szCs w:val="22"/>
          <w:shd w:val="clear" w:color="auto" w:fill="FFFFFF"/>
        </w:rPr>
        <w:t>) TNF-</w:t>
      </w:r>
      <w:r w:rsidRPr="00FF330B">
        <w:rPr>
          <w:rFonts w:ascii="Arial" w:hAnsi="Arial" w:cs="Arial" w:hint="eastAsia"/>
          <w:color w:val="222222"/>
          <w:sz w:val="22"/>
          <w:szCs w:val="22"/>
          <w:shd w:val="clear" w:color="auto" w:fill="FFFFFF"/>
        </w:rPr>
        <w:t>α</w:t>
      </w:r>
      <w:r w:rsidRPr="00FF330B">
        <w:rPr>
          <w:rFonts w:ascii="Arial" w:hAnsi="Arial" w:cs="Arial"/>
          <w:color w:val="222222"/>
          <w:sz w:val="22"/>
          <w:szCs w:val="22"/>
          <w:shd w:val="clear" w:color="auto" w:fill="FFFFFF"/>
        </w:rPr>
        <w:t>-producing CD8</w:t>
      </w:r>
      <w:r w:rsidRPr="00FF330B">
        <w:rPr>
          <w:rFonts w:ascii="Arial" w:hAnsi="Arial" w:cs="Arial"/>
          <w:color w:val="222222"/>
          <w:sz w:val="22"/>
          <w:szCs w:val="22"/>
          <w:shd w:val="clear" w:color="auto" w:fill="FFFFFF"/>
          <w:vertAlign w:val="superscript"/>
        </w:rPr>
        <w:t>+</w:t>
      </w:r>
      <w:r w:rsidRPr="00FF330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 T cells </w:t>
      </w:r>
      <w:r w:rsidRPr="00FF330B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at 7 </w:t>
      </w:r>
      <w:r w:rsidRPr="00FF330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days </w:t>
      </w:r>
      <w:r w:rsidRPr="00FF330B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post-infection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 for experiment 2 (</w:t>
      </w:r>
      <w:r w:rsidRPr="00586FDB">
        <w:rPr>
          <w:rFonts w:ascii="Arial" w:hAnsi="Arial" w:cs="Arial"/>
          <w:i/>
          <w:iCs/>
          <w:color w:val="222222"/>
          <w:sz w:val="22"/>
          <w:szCs w:val="22"/>
          <w:shd w:val="clear" w:color="auto" w:fill="FFFFFF"/>
          <w:lang w:val="en-US"/>
        </w:rPr>
        <w:t>n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=16)</w:t>
      </w:r>
      <w:r w:rsidRPr="00FF330B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. </w:t>
      </w:r>
      <w:r w:rsidRPr="004F14D6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Responses to </w:t>
      </w:r>
      <w:r w:rsidRPr="004F14D6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DENV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-</w:t>
      </w:r>
      <w:r w:rsidRPr="004F14D6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4, DENV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-</w:t>
      </w:r>
      <w:r w:rsidRPr="004F14D6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2 and ZIKV</w:t>
      </w:r>
      <w:r w:rsidRPr="004F14D6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Pr="004F14D6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was</w:t>
      </w:r>
      <w:r w:rsidRPr="004F14D6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quantified. After antigenic stimulation, intracellular cytokine staining was performed using flow-cytometry analysis</w:t>
      </w:r>
      <w:r w:rsidRPr="004F14D6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.</w:t>
      </w:r>
      <w:r w:rsidRPr="004F14D6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Pr="004F14D6">
        <w:rPr>
          <w:rFonts w:ascii="Arial" w:hAnsi="Arial" w:cs="Arial"/>
          <w:color w:val="000000" w:themeColor="text1"/>
          <w:sz w:val="22"/>
          <w:szCs w:val="22"/>
          <w:lang w:val="en-US"/>
        </w:rPr>
        <w:t>Animals depleted of CD4</w:t>
      </w:r>
      <w:r w:rsidRPr="004F14D6">
        <w:rPr>
          <w:rFonts w:ascii="Arial" w:hAnsi="Arial" w:cs="Arial"/>
          <w:color w:val="000000" w:themeColor="text1"/>
          <w:sz w:val="22"/>
          <w:szCs w:val="22"/>
          <w:vertAlign w:val="superscript"/>
          <w:lang w:val="en-US"/>
        </w:rPr>
        <w:t>+</w:t>
      </w:r>
      <w:r w:rsidRPr="004F14D6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T cells are shown in red (DENV-primed) and purple (ZIKV-primed), DENV and ZIKV immune-competent animals are shown in blue and green, and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flavivirus-</w:t>
      </w:r>
      <w:r w:rsidRPr="004F14D6">
        <w:rPr>
          <w:rFonts w:ascii="Arial" w:hAnsi="Arial" w:cs="Arial"/>
          <w:color w:val="000000" w:themeColor="text1"/>
          <w:sz w:val="22"/>
          <w:szCs w:val="22"/>
          <w:lang w:val="en-US"/>
        </w:rPr>
        <w:t>naïve animals are shown in black in all panels.</w:t>
      </w:r>
      <w:r w:rsidRPr="004F14D6"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 xml:space="preserve"> </w:t>
      </w:r>
      <w:r w:rsidRPr="004F14D6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Statistically significant differences between groups </w:t>
      </w:r>
      <w:r w:rsidRPr="00FF330B">
        <w:rPr>
          <w:rFonts w:ascii="Arial" w:hAnsi="Arial" w:cs="Arial"/>
          <w:sz w:val="22"/>
          <w:szCs w:val="22"/>
        </w:rPr>
        <w:t>are reported as multiplicity adjusted p values</w:t>
      </w:r>
      <w:r w:rsidRPr="004F14D6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calculated using two-way ANOVA adjusted for Tukey’s multiple comparisons test</w:t>
      </w:r>
      <w:r w:rsidRPr="004F14D6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. </w:t>
      </w:r>
    </w:p>
    <w:p w14:paraId="6571EC81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  <w:r>
        <w:rPr>
          <w:rFonts w:ascii="Arial" w:hAnsi="Arial" w:cs="Arial"/>
          <w:b/>
          <w:bCs/>
          <w:noProof/>
          <w:color w:val="000000" w:themeColor="text1"/>
          <w:sz w:val="22"/>
          <w:szCs w:val="22"/>
          <w:lang w:val="en-US"/>
        </w:rPr>
        <w:lastRenderedPageBreak/>
        <w:drawing>
          <wp:inline distT="0" distB="0" distL="0" distR="0" wp14:anchorId="08C51DF5" wp14:editId="0D1AFA60">
            <wp:extent cx="6858000" cy="3498850"/>
            <wp:effectExtent l="0" t="0" r="0" b="6350"/>
            <wp:docPr id="31" name="Picture 3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Diagram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49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B0AB2" w14:textId="77777777" w:rsidR="007958F0" w:rsidRDefault="007958F0" w:rsidP="007958F0">
      <w:pP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</w:pPr>
    </w:p>
    <w:p w14:paraId="172635D8" w14:textId="77777777" w:rsidR="007958F0" w:rsidRPr="00586FDB" w:rsidRDefault="007958F0" w:rsidP="007958F0">
      <w:pPr>
        <w:spacing w:line="360" w:lineRule="auto"/>
        <w:jc w:val="both"/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</w:pPr>
      <w:r w:rsidRPr="003B1603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S1</w:t>
      </w:r>
      <w:r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>3</w:t>
      </w:r>
      <w:r w:rsidRPr="003B1603">
        <w:rPr>
          <w:rFonts w:ascii="Arial" w:hAnsi="Arial" w:cs="Arial"/>
          <w:b/>
          <w:bCs/>
          <w:color w:val="000000" w:themeColor="text1"/>
          <w:sz w:val="22"/>
          <w:szCs w:val="22"/>
          <w:lang w:val="en-US"/>
        </w:rPr>
        <w:t xml:space="preserve"> </w:t>
      </w:r>
      <w:r w:rsidRPr="003B1603">
        <w:rPr>
          <w:rFonts w:ascii="Arial" w:hAnsi="Arial" w:cs="Arial"/>
          <w:b/>
          <w:bCs/>
          <w:sz w:val="22"/>
          <w:szCs w:val="22"/>
          <w:lang w:val="en-US"/>
        </w:rPr>
        <w:t xml:space="preserve">Figure. Sequence of infection shapes the pro-inflammatory cytokine profile. </w:t>
      </w:r>
      <w:r w:rsidRPr="00586FDB">
        <w:rPr>
          <w:rFonts w:ascii="Arial" w:hAnsi="Arial" w:cs="Arial"/>
          <w:sz w:val="22"/>
          <w:szCs w:val="22"/>
        </w:rPr>
        <w:t>Cytokine and chemokine expression levels were determined in serum (pg/ml) by multiplex bead assay (Luminex) at baseline, 1, 3</w:t>
      </w:r>
      <w:r>
        <w:rPr>
          <w:rFonts w:ascii="Arial" w:hAnsi="Arial" w:cs="Arial"/>
          <w:sz w:val="22"/>
          <w:szCs w:val="22"/>
          <w:lang w:val="en-US"/>
        </w:rPr>
        <w:t>,</w:t>
      </w:r>
      <w:r w:rsidRPr="00586FDB">
        <w:rPr>
          <w:rFonts w:ascii="Arial" w:hAnsi="Arial" w:cs="Arial"/>
          <w:sz w:val="22"/>
          <w:szCs w:val="22"/>
          <w:lang w:val="en-US"/>
        </w:rPr>
        <w:t xml:space="preserve"> </w:t>
      </w:r>
      <w:r w:rsidRPr="00586FDB">
        <w:rPr>
          <w:rFonts w:ascii="Arial" w:hAnsi="Arial" w:cs="Arial"/>
          <w:sz w:val="22"/>
          <w:szCs w:val="22"/>
        </w:rPr>
        <w:t xml:space="preserve">and </w:t>
      </w:r>
      <w:r w:rsidRPr="00586FDB">
        <w:rPr>
          <w:rFonts w:ascii="Arial" w:hAnsi="Arial" w:cs="Arial"/>
          <w:sz w:val="22"/>
          <w:szCs w:val="22"/>
          <w:lang w:val="en-US"/>
        </w:rPr>
        <w:t>7</w:t>
      </w:r>
      <w:r w:rsidRPr="00586FDB">
        <w:rPr>
          <w:rFonts w:ascii="Arial" w:hAnsi="Arial" w:cs="Arial"/>
          <w:sz w:val="22"/>
          <w:szCs w:val="22"/>
        </w:rPr>
        <w:t xml:space="preserve"> days after DENV infection.</w:t>
      </w:r>
      <w:r w:rsidRPr="003B1603">
        <w:rPr>
          <w:rFonts w:ascii="Arial" w:hAnsi="Arial" w:cs="Arial"/>
          <w:sz w:val="22"/>
          <w:szCs w:val="22"/>
          <w:lang w:val="en-US"/>
        </w:rPr>
        <w:t xml:space="preserve"> </w:t>
      </w:r>
      <w:r w:rsidRPr="003B1603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Differences between the two sequences of infections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 from experiment 2</w:t>
      </w:r>
      <w:r w:rsidRPr="003B1603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 regardless of CD4</w:t>
      </w:r>
      <w:r w:rsidRPr="00CE4035">
        <w:rPr>
          <w:rFonts w:ascii="Arial" w:hAnsi="Arial" w:cs="Arial"/>
          <w:color w:val="222222"/>
          <w:sz w:val="22"/>
          <w:szCs w:val="22"/>
          <w:shd w:val="clear" w:color="auto" w:fill="FFFFFF"/>
          <w:vertAlign w:val="superscript"/>
          <w:lang w:val="en-US"/>
        </w:rPr>
        <w:t>+</w:t>
      </w:r>
      <w:r w:rsidRPr="003B1603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 T cell status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 are shown</w:t>
      </w:r>
      <w:r w:rsidRPr="003B1603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.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 </w:t>
      </w:r>
      <w:r w:rsidRPr="00586FDB">
        <w:rPr>
          <w:rFonts w:ascii="Arial" w:hAnsi="Arial" w:cs="Arial"/>
          <w:color w:val="222222"/>
          <w:sz w:val="22"/>
          <w:szCs w:val="22"/>
          <w:shd w:val="clear" w:color="auto" w:fill="FFFFFF"/>
        </w:rPr>
        <w:t>The panel includes 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(</w:t>
      </w:r>
      <w:r w:rsidRPr="00586FDB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A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)</w:t>
      </w:r>
      <w:r w:rsidRPr="00586FDB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 </w:t>
      </w:r>
      <w:r w:rsidRPr="003B1603"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 xml:space="preserve">IL-12p70, 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>(</w:t>
      </w:r>
      <w:r w:rsidRPr="00D561C2"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>B</w:t>
      </w:r>
      <w:r>
        <w:rPr>
          <w:rFonts w:ascii="Arial" w:hAnsi="Arial" w:cs="Arial"/>
          <w:b/>
          <w:bCs/>
          <w:color w:val="202020"/>
          <w:sz w:val="22"/>
          <w:szCs w:val="22"/>
          <w:shd w:val="clear" w:color="auto" w:fill="FFFFFF"/>
          <w:lang w:val="en-US"/>
        </w:rPr>
        <w:t>)</w:t>
      </w:r>
      <w:r w:rsidRPr="003B1603">
        <w:rPr>
          <w:rFonts w:ascii="Arial" w:hAnsi="Arial" w:cs="Arial"/>
          <w:color w:val="202020"/>
          <w:sz w:val="22"/>
          <w:szCs w:val="22"/>
          <w:shd w:val="clear" w:color="auto" w:fill="FFFFFF"/>
          <w:lang w:val="en-US"/>
        </w:rPr>
        <w:t xml:space="preserve"> </w:t>
      </w:r>
      <w:r w:rsidRPr="003B1603">
        <w:rPr>
          <w:rFonts w:ascii="Arial" w:hAnsi="Arial" w:cs="Arial"/>
          <w:color w:val="222222"/>
          <w:sz w:val="22"/>
          <w:szCs w:val="22"/>
          <w:lang w:val="en-US"/>
        </w:rPr>
        <w:t xml:space="preserve">Granzyme B, </w:t>
      </w:r>
      <w:r>
        <w:rPr>
          <w:rFonts w:ascii="Arial" w:hAnsi="Arial" w:cs="Arial"/>
          <w:color w:val="222222"/>
          <w:sz w:val="22"/>
          <w:szCs w:val="22"/>
          <w:lang w:val="en-US"/>
        </w:rPr>
        <w:t>(</w:t>
      </w:r>
      <w:r w:rsidRPr="00D561C2">
        <w:rPr>
          <w:rFonts w:ascii="Arial" w:hAnsi="Arial" w:cs="Arial"/>
          <w:color w:val="222222"/>
          <w:sz w:val="22"/>
          <w:szCs w:val="22"/>
          <w:lang w:val="en-US"/>
        </w:rPr>
        <w:t>C</w:t>
      </w:r>
      <w:r>
        <w:rPr>
          <w:rFonts w:ascii="Arial" w:hAnsi="Arial" w:cs="Arial"/>
          <w:color w:val="222222"/>
          <w:sz w:val="22"/>
          <w:szCs w:val="22"/>
          <w:lang w:val="en-US"/>
        </w:rPr>
        <w:t>)</w:t>
      </w:r>
      <w:r w:rsidRPr="00586FDB">
        <w:rPr>
          <w:rFonts w:ascii="Arial" w:hAnsi="Arial" w:cs="Arial"/>
          <w:b/>
          <w:bCs/>
          <w:color w:val="222222"/>
          <w:sz w:val="22"/>
          <w:szCs w:val="22"/>
          <w:lang w:val="en-US"/>
        </w:rPr>
        <w:t xml:space="preserve"> </w:t>
      </w:r>
      <w:r w:rsidRPr="00586FDB">
        <w:rPr>
          <w:rFonts w:ascii="Arial" w:hAnsi="Arial" w:cs="Arial"/>
          <w:color w:val="222222"/>
          <w:sz w:val="22"/>
          <w:szCs w:val="22"/>
          <w:lang w:val="en-US"/>
        </w:rPr>
        <w:t>interferon-alpha</w:t>
      </w:r>
      <w:r w:rsidRPr="00586FD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(IFN-</w:t>
      </w:r>
      <w:r w:rsidRPr="00586FDB">
        <w:rPr>
          <w:rFonts w:ascii="Arial" w:hAnsi="Arial" w:cs="Arial" w:hint="eastAsia"/>
          <w:color w:val="222222"/>
          <w:sz w:val="22"/>
          <w:szCs w:val="22"/>
          <w:shd w:val="clear" w:color="auto" w:fill="FFFFFF"/>
        </w:rPr>
        <w:t>α</w:t>
      </w:r>
      <w:r w:rsidRPr="00586FDB">
        <w:rPr>
          <w:rFonts w:ascii="Arial" w:hAnsi="Arial" w:cs="Arial"/>
          <w:color w:val="222222"/>
          <w:sz w:val="22"/>
          <w:szCs w:val="22"/>
          <w:shd w:val="clear" w:color="auto" w:fill="FFFFFF"/>
        </w:rPr>
        <w:t>)</w:t>
      </w:r>
      <w:r w:rsidRPr="003B1603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, 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(</w:t>
      </w:r>
      <w:r w:rsidRPr="00D561C2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D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)</w:t>
      </w:r>
      <w:r w:rsidRPr="003B1603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 </w:t>
      </w:r>
      <w:r w:rsidRPr="003B1603">
        <w:rPr>
          <w:rFonts w:ascii="Arial" w:hAnsi="Arial" w:cs="Arial"/>
          <w:color w:val="222222"/>
          <w:sz w:val="22"/>
          <w:szCs w:val="22"/>
          <w:lang w:val="en-US"/>
        </w:rPr>
        <w:t>IL-17A</w:t>
      </w:r>
      <w:r>
        <w:rPr>
          <w:rFonts w:ascii="Arial" w:hAnsi="Arial" w:cs="Arial"/>
          <w:color w:val="222222"/>
          <w:sz w:val="22"/>
          <w:szCs w:val="22"/>
          <w:lang w:val="en-US"/>
        </w:rPr>
        <w:t>,</w:t>
      </w:r>
      <w:r w:rsidRPr="003B1603">
        <w:rPr>
          <w:rFonts w:ascii="Arial" w:hAnsi="Arial" w:cs="Arial"/>
          <w:color w:val="222222"/>
          <w:sz w:val="22"/>
          <w:szCs w:val="22"/>
          <w:lang w:val="en-US"/>
        </w:rPr>
        <w:t xml:space="preserve"> and </w:t>
      </w:r>
      <w:r>
        <w:rPr>
          <w:rFonts w:ascii="Arial" w:hAnsi="Arial" w:cs="Arial"/>
          <w:color w:val="222222"/>
          <w:sz w:val="22"/>
          <w:szCs w:val="22"/>
          <w:lang w:val="en-US"/>
        </w:rPr>
        <w:t>(</w:t>
      </w:r>
      <w:r w:rsidRPr="00D561C2">
        <w:rPr>
          <w:rFonts w:ascii="Arial" w:hAnsi="Arial" w:cs="Arial"/>
          <w:color w:val="222222"/>
          <w:sz w:val="22"/>
          <w:szCs w:val="22"/>
          <w:lang w:val="en-US"/>
        </w:rPr>
        <w:t>E</w:t>
      </w:r>
      <w:r>
        <w:rPr>
          <w:rFonts w:ascii="Arial" w:hAnsi="Arial" w:cs="Arial"/>
          <w:color w:val="222222"/>
          <w:sz w:val="22"/>
          <w:szCs w:val="22"/>
          <w:lang w:val="en-US"/>
        </w:rPr>
        <w:t>)</w:t>
      </w:r>
      <w:r w:rsidRPr="00586FDB">
        <w:rPr>
          <w:rFonts w:ascii="Arial" w:hAnsi="Arial" w:cs="Arial"/>
          <w:b/>
          <w:bCs/>
          <w:color w:val="222222"/>
          <w:sz w:val="22"/>
          <w:szCs w:val="22"/>
          <w:lang w:val="en-US"/>
        </w:rPr>
        <w:t xml:space="preserve"> </w:t>
      </w:r>
      <w:r w:rsidRPr="00586FDB">
        <w:rPr>
          <w:rFonts w:ascii="Arial" w:hAnsi="Arial" w:cs="Arial"/>
          <w:color w:val="222222"/>
          <w:sz w:val="22"/>
          <w:szCs w:val="22"/>
          <w:shd w:val="clear" w:color="auto" w:fill="FFFFFF"/>
        </w:rPr>
        <w:t>C–X–C motif chemokine 10 (CXCL10/IP-10)</w:t>
      </w:r>
      <w:r w:rsidRPr="003B1603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 xml:space="preserve">. </w:t>
      </w:r>
      <w:r w:rsidRPr="003B1603">
        <w:rPr>
          <w:rFonts w:ascii="Arial" w:hAnsi="Arial" w:cs="Arial"/>
          <w:color w:val="000000" w:themeColor="text1"/>
          <w:sz w:val="22"/>
          <w:szCs w:val="22"/>
          <w:lang w:val="en-US"/>
        </w:rPr>
        <w:t>DENV2-ZIKV-DENV4 immune animals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(</w:t>
      </w:r>
      <w:r w:rsidRPr="00586FDB">
        <w:rPr>
          <w:rFonts w:ascii="Arial" w:hAnsi="Arial" w:cs="Arial"/>
          <w:i/>
          <w:iCs/>
          <w:color w:val="000000" w:themeColor="text1"/>
          <w:sz w:val="22"/>
          <w:szCs w:val="22"/>
          <w:lang w:val="en-US"/>
        </w:rPr>
        <w:t>n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=6)</w:t>
      </w:r>
      <w:r w:rsidRPr="003B1603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are shown in black circles, ZIKV-DENV2-DENV4 immune animals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(</w:t>
      </w:r>
      <w:r w:rsidRPr="00586FDB">
        <w:rPr>
          <w:rFonts w:ascii="Arial" w:hAnsi="Arial" w:cs="Arial"/>
          <w:i/>
          <w:iCs/>
          <w:color w:val="000000" w:themeColor="text1"/>
          <w:sz w:val="22"/>
          <w:szCs w:val="22"/>
          <w:lang w:val="en-US"/>
        </w:rPr>
        <w:t>n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=6)</w:t>
      </w:r>
      <w:r w:rsidRPr="003B1603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are shown in blank squares and 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flavivirus-</w:t>
      </w:r>
      <w:r w:rsidRPr="003B1603">
        <w:rPr>
          <w:rFonts w:ascii="Arial" w:hAnsi="Arial" w:cs="Arial"/>
          <w:color w:val="000000" w:themeColor="text1"/>
          <w:sz w:val="22"/>
          <w:szCs w:val="22"/>
          <w:lang w:val="en-US"/>
        </w:rPr>
        <w:t>naïve animals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(</w:t>
      </w:r>
      <w:r w:rsidRPr="00586FDB">
        <w:rPr>
          <w:rFonts w:ascii="Arial" w:hAnsi="Arial" w:cs="Arial"/>
          <w:i/>
          <w:iCs/>
          <w:color w:val="000000" w:themeColor="text1"/>
          <w:sz w:val="22"/>
          <w:szCs w:val="22"/>
          <w:lang w:val="en-US"/>
        </w:rPr>
        <w:t>n</w:t>
      </w:r>
      <w:r>
        <w:rPr>
          <w:rFonts w:ascii="Arial" w:hAnsi="Arial" w:cs="Arial"/>
          <w:color w:val="000000" w:themeColor="text1"/>
          <w:sz w:val="22"/>
          <w:szCs w:val="22"/>
          <w:lang w:val="en-US"/>
        </w:rPr>
        <w:t>=8)</w:t>
      </w:r>
      <w:r w:rsidRPr="003B1603">
        <w:rPr>
          <w:rFonts w:ascii="Arial" w:hAnsi="Arial" w:cs="Arial"/>
          <w:color w:val="000000" w:themeColor="text1"/>
          <w:sz w:val="22"/>
          <w:szCs w:val="22"/>
          <w:lang w:val="en-US"/>
        </w:rPr>
        <w:t xml:space="preserve"> are shown in black diamonds. </w:t>
      </w:r>
      <w:r w:rsidRPr="00586FDB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Statistically significant differences between groups </w:t>
      </w:r>
      <w:r w:rsidRPr="00FF330B">
        <w:rPr>
          <w:rFonts w:ascii="Arial" w:hAnsi="Arial" w:cs="Arial"/>
          <w:sz w:val="22"/>
          <w:szCs w:val="22"/>
        </w:rPr>
        <w:t>are reported as multiplicity adjusted p values</w:t>
      </w:r>
      <w:r w:rsidRPr="00936E59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</w:t>
      </w:r>
      <w:r w:rsidRPr="00586FDB">
        <w:rPr>
          <w:rFonts w:ascii="Arial" w:hAnsi="Arial" w:cs="Arial"/>
          <w:color w:val="222222"/>
          <w:sz w:val="22"/>
          <w:szCs w:val="22"/>
          <w:shd w:val="clear" w:color="auto" w:fill="FFFFFF"/>
        </w:rPr>
        <w:t>calculated using two-way ANOVA adjusted for Tukey’s multiple comparisons test</w:t>
      </w:r>
      <w:r w:rsidRPr="00586FDB">
        <w:rPr>
          <w:rFonts w:ascii="Arial" w:hAnsi="Arial" w:cs="Arial"/>
          <w:color w:val="222222"/>
          <w:sz w:val="22"/>
          <w:szCs w:val="22"/>
          <w:shd w:val="clear" w:color="auto" w:fill="FFFFFF"/>
          <w:lang w:val="en-US"/>
        </w:rPr>
        <w:t>.</w:t>
      </w:r>
    </w:p>
    <w:p w14:paraId="2E3B48EA" w14:textId="77777777" w:rsidR="00075D3A" w:rsidRDefault="00075D3A"/>
    <w:sectPr w:rsidR="00075D3A" w:rsidSect="007958F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8F0"/>
    <w:rsid w:val="00075D3A"/>
    <w:rsid w:val="00795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1CAB8"/>
  <w15:chartTrackingRefBased/>
  <w15:docId w15:val="{1EAFE794-985C-4A05-99AC-B7F09A24F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8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31</Pages>
  <Words>1541</Words>
  <Characters>8787</Characters>
  <Application>Microsoft Office Word</Application>
  <DocSecurity>0</DocSecurity>
  <Lines>73</Lines>
  <Paragraphs>20</Paragraphs>
  <ScaleCrop>false</ScaleCrop>
  <Company/>
  <LinksUpToDate>false</LinksUpToDate>
  <CharactersWithSpaces>10308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2022-01-20T02:32:00Z</dcterms:created>
  <dcterms:modified xsi:type="dcterms:W3CDTF">2022-01-20T02:33:00Z</dcterms:modified>
</cp:coreProperties>
</file>