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88BA2B" w14:textId="77777777" w:rsidR="00E613FA" w:rsidRPr="002611AC" w:rsidRDefault="002611AC" w:rsidP="00CA2029">
      <w:pPr>
        <w:pStyle w:val="Heading1"/>
        <w:spacing w:before="0" w:line="360" w:lineRule="auto"/>
        <w:rPr>
          <w:rFonts w:ascii="Cambria" w:hAnsi="Cambria"/>
          <w:bCs/>
          <w:sz w:val="28"/>
          <w:szCs w:val="28"/>
          <w:lang w:eastAsia="ja-JP"/>
        </w:rPr>
      </w:pPr>
      <w:bookmarkStart w:id="0" w:name="_Toc436727927"/>
      <w:r>
        <w:rPr>
          <w:rFonts w:ascii="Cambria" w:hAnsi="Cambria"/>
          <w:bCs/>
          <w:sz w:val="28"/>
          <w:szCs w:val="28"/>
          <w:lang w:eastAsia="ja-JP"/>
        </w:rPr>
        <w:t>L</w:t>
      </w:r>
      <w:r w:rsidR="00E613FA" w:rsidRPr="002611AC">
        <w:rPr>
          <w:rFonts w:ascii="Cambria" w:hAnsi="Cambria"/>
          <w:bCs/>
          <w:sz w:val="28"/>
          <w:szCs w:val="28"/>
          <w:lang w:eastAsia="ja-JP"/>
        </w:rPr>
        <w:t>egal framework</w:t>
      </w:r>
      <w:bookmarkEnd w:id="0"/>
    </w:p>
    <w:p w14:paraId="4F5ABE70" w14:textId="3F307F9F" w:rsidR="00E613FA" w:rsidRPr="00E613FA" w:rsidRDefault="00E613FA" w:rsidP="00CA2029">
      <w:pPr>
        <w:spacing w:after="0" w:line="360" w:lineRule="auto"/>
        <w:rPr>
          <w:rFonts w:ascii="Calibri" w:eastAsia="Calibri" w:hAnsi="Calibri" w:cs="Times New Roman"/>
        </w:rPr>
      </w:pPr>
      <w:r w:rsidRPr="00E613FA">
        <w:rPr>
          <w:rFonts w:ascii="Calibri" w:eastAsia="Calibri" w:hAnsi="Calibri" w:cs="Times New Roman"/>
        </w:rPr>
        <w:t>Clarity on legal issues is a significant aspect of this research to ensure lay carers and clinicians</w:t>
      </w:r>
      <w:r w:rsidR="002611AC">
        <w:rPr>
          <w:rFonts w:ascii="Calibri" w:eastAsia="Calibri" w:hAnsi="Calibri" w:cs="Times New Roman"/>
        </w:rPr>
        <w:t xml:space="preserve"> alike have legal protection. </w:t>
      </w:r>
      <w:r w:rsidRPr="00E613FA">
        <w:rPr>
          <w:rFonts w:ascii="Calibri" w:eastAsia="Calibri" w:hAnsi="Calibri" w:cs="Times New Roman"/>
        </w:rPr>
        <w:t xml:space="preserve">Our Australian </w:t>
      </w:r>
      <w:r>
        <w:rPr>
          <w:rFonts w:ascii="Calibri" w:eastAsia="Calibri" w:hAnsi="Calibri" w:cs="Times New Roman"/>
        </w:rPr>
        <w:t>partners</w:t>
      </w:r>
      <w:r w:rsidRPr="00E613FA">
        <w:rPr>
          <w:rFonts w:ascii="Calibri" w:eastAsia="Calibri" w:hAnsi="Calibri" w:cs="Times New Roman"/>
        </w:rPr>
        <w:t xml:space="preserve"> have given us full access to their reference </w:t>
      </w:r>
      <w:proofErr w:type="gramStart"/>
      <w:r w:rsidRPr="00E613FA">
        <w:rPr>
          <w:rFonts w:ascii="Calibri" w:eastAsia="Calibri" w:hAnsi="Calibri" w:cs="Times New Roman"/>
        </w:rPr>
        <w:t>resource.</w:t>
      </w:r>
      <w:r w:rsidR="002C17EA">
        <w:rPr>
          <w:rFonts w:ascii="Calibri" w:eastAsia="Calibri" w:hAnsi="Calibri" w:cs="Times New Roman"/>
          <w:noProof/>
        </w:rPr>
        <w:t>[</w:t>
      </w:r>
      <w:proofErr w:type="gramEnd"/>
      <w:r w:rsidR="00CA2029" w:rsidRPr="00CA2029">
        <w:rPr>
          <w:rFonts w:ascii="Calibri" w:eastAsia="Calibri" w:hAnsi="Calibri" w:cs="Times New Roman"/>
          <w:noProof/>
        </w:rPr>
        <w:t>1</w:t>
      </w:r>
      <w:r w:rsidR="002C17EA">
        <w:rPr>
          <w:rFonts w:ascii="Calibri" w:eastAsia="Calibri" w:hAnsi="Calibri" w:cs="Times New Roman"/>
          <w:noProof/>
        </w:rPr>
        <w:t>]</w:t>
      </w:r>
      <w:r w:rsidRPr="00E613FA">
        <w:rPr>
          <w:rFonts w:ascii="Calibri" w:eastAsia="Calibri" w:hAnsi="Calibri" w:cs="Times New Roman"/>
        </w:rPr>
        <w:t xml:space="preserve"> </w:t>
      </w:r>
      <w:r w:rsidR="00E54983" w:rsidRPr="00E613FA">
        <w:rPr>
          <w:rFonts w:ascii="Calibri" w:eastAsia="Calibri" w:hAnsi="Calibri" w:cs="Times New Roman"/>
        </w:rPr>
        <w:t>Their document covers a broad range of topics on the handling of medication in community-based palliative care services</w:t>
      </w:r>
      <w:r w:rsidR="00E54983">
        <w:rPr>
          <w:rFonts w:ascii="Calibri" w:eastAsia="Calibri" w:hAnsi="Calibri" w:cs="Times New Roman"/>
        </w:rPr>
        <w:t>. It</w:t>
      </w:r>
      <w:r w:rsidR="00E54983" w:rsidRPr="00E613FA">
        <w:rPr>
          <w:rFonts w:ascii="Calibri" w:eastAsia="Calibri" w:hAnsi="Calibri" w:cs="Times New Roman"/>
        </w:rPr>
        <w:t xml:space="preserve"> </w:t>
      </w:r>
      <w:r w:rsidR="00E54983">
        <w:rPr>
          <w:rFonts w:ascii="Calibri" w:eastAsia="Calibri" w:hAnsi="Calibri" w:cs="Times New Roman"/>
        </w:rPr>
        <w:t>covers</w:t>
      </w:r>
      <w:r w:rsidR="00E54983" w:rsidRPr="00E613FA">
        <w:rPr>
          <w:rFonts w:ascii="Calibri" w:eastAsia="Calibri" w:hAnsi="Calibri" w:cs="Times New Roman"/>
        </w:rPr>
        <w:t xml:space="preserve"> medication management, drug storage (security of medications, responsibility for medication storage,</w:t>
      </w:r>
      <w:bookmarkStart w:id="1" w:name="_GoBack"/>
      <w:bookmarkEnd w:id="1"/>
      <w:r w:rsidR="00E54983" w:rsidRPr="00E613FA">
        <w:rPr>
          <w:rFonts w:ascii="Calibri" w:eastAsia="Calibri" w:hAnsi="Calibri" w:cs="Times New Roman"/>
        </w:rPr>
        <w:t xml:space="preserve"> disposal of medication), prescribing, and medication administration (who can administer, record of administration) in the context of lay carer administration.</w:t>
      </w:r>
      <w:r w:rsidR="00E54983">
        <w:rPr>
          <w:rStyle w:val="CommentReference"/>
        </w:rPr>
        <w:t/>
      </w:r>
    </w:p>
    <w:p w14:paraId="6748BF14" w14:textId="77777777" w:rsidR="00E613FA" w:rsidRPr="00E613FA" w:rsidRDefault="00E613FA" w:rsidP="00CA2029">
      <w:pPr>
        <w:spacing w:after="0" w:line="360" w:lineRule="auto"/>
        <w:rPr>
          <w:rFonts w:ascii="Calibri" w:eastAsia="Calibri" w:hAnsi="Calibri" w:cs="Times New Roman"/>
        </w:rPr>
      </w:pPr>
    </w:p>
    <w:p w14:paraId="6CD74DC9" w14:textId="77777777" w:rsidR="00E613FA" w:rsidRPr="00E613FA" w:rsidRDefault="00E613FA" w:rsidP="00CA2029">
      <w:pPr>
        <w:spacing w:after="0" w:line="360" w:lineRule="auto"/>
        <w:rPr>
          <w:rFonts w:ascii="Calibri" w:eastAsia="Calibri" w:hAnsi="Calibri" w:cs="Times New Roman"/>
        </w:rPr>
      </w:pPr>
      <w:r w:rsidRPr="00E613FA">
        <w:rPr>
          <w:rFonts w:ascii="Calibri" w:eastAsia="Calibri" w:hAnsi="Calibri" w:cs="Times New Roman"/>
        </w:rPr>
        <w:t>The pr</w:t>
      </w:r>
      <w:r>
        <w:rPr>
          <w:rFonts w:ascii="Calibri" w:eastAsia="Calibri" w:hAnsi="Calibri" w:cs="Times New Roman"/>
        </w:rPr>
        <w:t>emise</w:t>
      </w:r>
      <w:r w:rsidRPr="00E613FA">
        <w:rPr>
          <w:rFonts w:ascii="Calibri" w:eastAsia="Calibri" w:hAnsi="Calibri" w:cs="Times New Roman"/>
        </w:rPr>
        <w:t>:</w:t>
      </w:r>
    </w:p>
    <w:p w14:paraId="1AD00AF6" w14:textId="44B989BD" w:rsidR="00E613FA" w:rsidRPr="00E613FA" w:rsidRDefault="00E613FA" w:rsidP="00CA2029">
      <w:pPr>
        <w:spacing w:after="0" w:line="360" w:lineRule="auto"/>
        <w:rPr>
          <w:rFonts w:ascii="Calibri" w:eastAsia="Calibri" w:hAnsi="Calibri" w:cs="Times New Roman"/>
        </w:rPr>
      </w:pPr>
      <w:r w:rsidRPr="00E613FA">
        <w:rPr>
          <w:rFonts w:ascii="Calibri" w:eastAsia="Calibri" w:hAnsi="Calibri" w:cs="Times New Roman"/>
        </w:rPr>
        <w:t>A lay carer can legally administer medication</w:t>
      </w:r>
      <w:r w:rsidR="00351EC2">
        <w:rPr>
          <w:rFonts w:ascii="Calibri" w:eastAsia="Calibri" w:hAnsi="Calibri" w:cs="Times New Roman"/>
        </w:rPr>
        <w:t xml:space="preserve"> individually </w:t>
      </w:r>
      <w:r w:rsidR="00351EC2" w:rsidRPr="00E613FA">
        <w:rPr>
          <w:rFonts w:ascii="Calibri" w:eastAsia="Calibri" w:hAnsi="Calibri" w:cs="Times New Roman"/>
        </w:rPr>
        <w:t>prescribed</w:t>
      </w:r>
      <w:r w:rsidRPr="00E613FA">
        <w:rPr>
          <w:rFonts w:ascii="Calibri" w:eastAsia="Calibri" w:hAnsi="Calibri" w:cs="Times New Roman"/>
        </w:rPr>
        <w:t xml:space="preserve"> for a third party, </w:t>
      </w:r>
      <w:r w:rsidRPr="00E613FA">
        <w:rPr>
          <w:rFonts w:ascii="Calibri" w:eastAsia="Calibri" w:hAnsi="Calibri" w:cs="Times New Roman"/>
        </w:rPr>
        <w:t xml:space="preserve">including controlled drugs such as morphine, </w:t>
      </w:r>
      <w:proofErr w:type="gramStart"/>
      <w:r w:rsidRPr="00E613FA">
        <w:rPr>
          <w:rFonts w:ascii="Calibri" w:eastAsia="Calibri" w:hAnsi="Calibri" w:cs="Times New Roman"/>
        </w:rPr>
        <w:t>as long as</w:t>
      </w:r>
      <w:proofErr w:type="gramEnd"/>
      <w:r w:rsidRPr="00E613FA">
        <w:rPr>
          <w:rFonts w:ascii="Calibri" w:eastAsia="Calibri" w:hAnsi="Calibri" w:cs="Times New Roman"/>
        </w:rPr>
        <w:t xml:space="preserve"> the carer has been appropriately trained and assessed as competent, specifically in medication management.  This is true even if the medication is given to a patient lacking capacity, and/or if the medication is administered via injection. At present, injections are prepared immediately before administration (and not in adv</w:t>
      </w:r>
      <w:r w:rsidR="002C17EA">
        <w:rPr>
          <w:rFonts w:ascii="Calibri" w:eastAsia="Calibri" w:hAnsi="Calibri" w:cs="Times New Roman"/>
        </w:rPr>
        <w:t xml:space="preserve">ance, requiring relabelling). </w:t>
      </w:r>
      <w:r w:rsidRPr="00E613FA">
        <w:rPr>
          <w:rFonts w:ascii="Calibri" w:eastAsia="Calibri" w:hAnsi="Calibri" w:cs="Times New Roman"/>
        </w:rPr>
        <w:t>Carers should be trained to assess symptoms and should have access to dedicated support.</w:t>
      </w:r>
    </w:p>
    <w:p w14:paraId="3A414B6C" w14:textId="77777777" w:rsidR="00E613FA" w:rsidRPr="00E613FA" w:rsidRDefault="00E613FA" w:rsidP="00CA2029">
      <w:pPr>
        <w:spacing w:after="0" w:line="360" w:lineRule="auto"/>
        <w:rPr>
          <w:rFonts w:ascii="Calibri" w:eastAsia="Calibri" w:hAnsi="Calibri" w:cs="Times New Roman"/>
        </w:rPr>
      </w:pPr>
    </w:p>
    <w:p w14:paraId="75F72FB8" w14:textId="77777777" w:rsidR="00E613FA" w:rsidRPr="00E613FA" w:rsidRDefault="00E613FA" w:rsidP="00CA2029">
      <w:pPr>
        <w:spacing w:after="0" w:line="360" w:lineRule="auto"/>
        <w:rPr>
          <w:rFonts w:ascii="Calibri" w:eastAsia="Calibri" w:hAnsi="Calibri" w:cs="Times New Roman"/>
        </w:rPr>
      </w:pPr>
      <w:r w:rsidRPr="00E613FA">
        <w:rPr>
          <w:rFonts w:ascii="Calibri" w:eastAsia="Calibri" w:hAnsi="Calibri" w:cs="Times New Roman"/>
        </w:rPr>
        <w:t>In support of these statements, the relevant sections from UK legislation and guidance are detailed below:</w:t>
      </w:r>
    </w:p>
    <w:p w14:paraId="26EE9C9B" w14:textId="1CE5EC55" w:rsidR="00E613FA" w:rsidRPr="00E613FA" w:rsidRDefault="00E613FA" w:rsidP="00CA2029">
      <w:pPr>
        <w:spacing w:after="0" w:line="360" w:lineRule="auto"/>
        <w:rPr>
          <w:rFonts w:ascii="Calibri" w:eastAsia="Calibri" w:hAnsi="Calibri" w:cs="Times New Roman"/>
          <w:b/>
        </w:rPr>
      </w:pPr>
      <w:r w:rsidRPr="00E613FA">
        <w:rPr>
          <w:rFonts w:ascii="Calibri" w:eastAsia="Calibri" w:hAnsi="Calibri" w:cs="Times New Roman"/>
          <w:b/>
        </w:rPr>
        <w:t xml:space="preserve">A lay carer can administer medication </w:t>
      </w:r>
      <w:r w:rsidR="00351EC2">
        <w:rPr>
          <w:rFonts w:ascii="Calibri" w:eastAsia="Calibri" w:hAnsi="Calibri" w:cs="Times New Roman"/>
          <w:b/>
        </w:rPr>
        <w:t xml:space="preserve">individually </w:t>
      </w:r>
      <w:r w:rsidR="00351EC2" w:rsidRPr="00E613FA">
        <w:rPr>
          <w:rFonts w:ascii="Calibri" w:eastAsia="Calibri" w:hAnsi="Calibri" w:cs="Times New Roman"/>
          <w:b/>
        </w:rPr>
        <w:t xml:space="preserve">prescribed </w:t>
      </w:r>
      <w:r w:rsidRPr="00E613FA">
        <w:rPr>
          <w:rFonts w:ascii="Calibri" w:eastAsia="Calibri" w:hAnsi="Calibri" w:cs="Times New Roman"/>
          <w:b/>
        </w:rPr>
        <w:t>for a third party, including controlled drugs such as morphine,</w:t>
      </w:r>
    </w:p>
    <w:p w14:paraId="2AFABC67" w14:textId="77777777" w:rsidR="00E613FA" w:rsidRPr="00E613FA" w:rsidRDefault="00E613FA" w:rsidP="00CA2029">
      <w:pPr>
        <w:numPr>
          <w:ilvl w:val="0"/>
          <w:numId w:val="2"/>
        </w:numPr>
        <w:spacing w:after="0" w:line="360" w:lineRule="auto"/>
        <w:ind w:left="567" w:hanging="425"/>
        <w:contextualSpacing/>
        <w:rPr>
          <w:rFonts w:ascii="Calibri" w:eastAsia="Calibri" w:hAnsi="Calibri" w:cs="Times New Roman"/>
        </w:rPr>
      </w:pPr>
      <w:r w:rsidRPr="00E613FA">
        <w:rPr>
          <w:rFonts w:ascii="Calibri" w:eastAsia="Calibri" w:hAnsi="Calibri" w:cs="Times New Roman"/>
        </w:rPr>
        <w:t>Section 7(3) of the Misuse of Drugs Regulations 2001 states</w:t>
      </w:r>
      <w:r w:rsidR="00351EC2">
        <w:rPr>
          <w:rFonts w:ascii="Calibri" w:eastAsia="Calibri" w:hAnsi="Calibri" w:cs="Times New Roman"/>
        </w:rPr>
        <w:t>:</w:t>
      </w:r>
      <w:r w:rsidRPr="00E613FA">
        <w:rPr>
          <w:rFonts w:ascii="Calibri" w:eastAsia="Calibri" w:hAnsi="Calibri" w:cs="Times New Roman"/>
        </w:rPr>
        <w:t xml:space="preserve"> “</w:t>
      </w:r>
      <w:r w:rsidRPr="00E613FA">
        <w:rPr>
          <w:rFonts w:ascii="Calibri" w:eastAsia="Calibri" w:hAnsi="Calibri" w:cs="Times New Roman"/>
          <w:i/>
        </w:rPr>
        <w:t>Any person other than a doctor or dentist may administer to a patient, in accordance with the directions of a doctor or dentist, any drug specified in Schedule 2, 3 or 4</w:t>
      </w:r>
      <w:proofErr w:type="gramStart"/>
      <w:r w:rsidRPr="00E613FA">
        <w:rPr>
          <w:rFonts w:ascii="Calibri" w:eastAsia="Calibri" w:hAnsi="Calibri" w:cs="Times New Roman"/>
          <w:i/>
        </w:rPr>
        <w:t>.</w:t>
      </w:r>
      <w:r w:rsidRPr="00E613FA">
        <w:rPr>
          <w:rFonts w:ascii="Calibri" w:eastAsia="Calibri" w:hAnsi="Calibri" w:cs="Times New Roman"/>
        </w:rPr>
        <w:t>”</w:t>
      </w:r>
      <w:r w:rsidR="002C17EA">
        <w:rPr>
          <w:rFonts w:ascii="Calibri" w:eastAsia="Calibri" w:hAnsi="Calibri" w:cs="Times New Roman"/>
          <w:noProof/>
        </w:rPr>
        <w:t>[</w:t>
      </w:r>
      <w:proofErr w:type="gramEnd"/>
      <w:r w:rsidR="002C17EA">
        <w:rPr>
          <w:rFonts w:ascii="Calibri" w:eastAsia="Calibri" w:hAnsi="Calibri" w:cs="Times New Roman"/>
          <w:noProof/>
        </w:rPr>
        <w:t>2]</w:t>
      </w:r>
    </w:p>
    <w:p w14:paraId="701A89F1" w14:textId="77777777" w:rsidR="00E613FA" w:rsidRPr="00E613FA" w:rsidRDefault="00E613FA" w:rsidP="00CA2029">
      <w:pPr>
        <w:numPr>
          <w:ilvl w:val="0"/>
          <w:numId w:val="2"/>
        </w:numPr>
        <w:spacing w:after="0" w:line="360" w:lineRule="auto"/>
        <w:ind w:left="567" w:hanging="425"/>
        <w:contextualSpacing/>
        <w:rPr>
          <w:rFonts w:ascii="Calibri" w:eastAsia="Calibri" w:hAnsi="Calibri" w:cs="Times New Roman"/>
        </w:rPr>
      </w:pPr>
      <w:r w:rsidRPr="00E613FA">
        <w:rPr>
          <w:rFonts w:ascii="Calibri" w:eastAsia="Calibri" w:hAnsi="Calibri" w:cs="Times New Roman"/>
        </w:rPr>
        <w:t xml:space="preserve">This was confirmed by the UK Medical Defence </w:t>
      </w:r>
      <w:proofErr w:type="gramStart"/>
      <w:r w:rsidRPr="00E613FA">
        <w:rPr>
          <w:rFonts w:ascii="Calibri" w:eastAsia="Calibri" w:hAnsi="Calibri" w:cs="Times New Roman"/>
        </w:rPr>
        <w:t>Union.</w:t>
      </w:r>
      <w:r w:rsidR="002C17EA">
        <w:rPr>
          <w:rFonts w:ascii="Calibri" w:eastAsia="Calibri" w:hAnsi="Calibri" w:cs="Times New Roman"/>
          <w:noProof/>
        </w:rPr>
        <w:t>[</w:t>
      </w:r>
      <w:proofErr w:type="gramEnd"/>
      <w:r w:rsidR="002C17EA">
        <w:rPr>
          <w:rFonts w:ascii="Calibri" w:eastAsia="Calibri" w:hAnsi="Calibri" w:cs="Times New Roman"/>
          <w:noProof/>
        </w:rPr>
        <w:t>3]</w:t>
      </w:r>
    </w:p>
    <w:p w14:paraId="452ACA2D" w14:textId="77777777" w:rsidR="00E613FA" w:rsidRPr="00E613FA" w:rsidRDefault="00E613FA" w:rsidP="00CA2029">
      <w:pPr>
        <w:numPr>
          <w:ilvl w:val="0"/>
          <w:numId w:val="2"/>
        </w:numPr>
        <w:spacing w:after="0" w:line="360" w:lineRule="auto"/>
        <w:ind w:left="567" w:hanging="425"/>
        <w:contextualSpacing/>
        <w:rPr>
          <w:rFonts w:ascii="Calibri" w:eastAsia="Calibri" w:hAnsi="Calibri" w:cs="Times New Roman"/>
        </w:rPr>
      </w:pPr>
      <w:r w:rsidRPr="00E613FA">
        <w:rPr>
          <w:rFonts w:ascii="Calibri" w:eastAsia="Calibri" w:hAnsi="Calibri" w:cs="Times New Roman"/>
        </w:rPr>
        <w:t>NHS NPC guidance (2009)</w:t>
      </w:r>
      <w:r w:rsidR="00351EC2">
        <w:rPr>
          <w:rFonts w:ascii="Calibri" w:eastAsia="Calibri" w:hAnsi="Calibri" w:cs="Times New Roman"/>
        </w:rPr>
        <w:t xml:space="preserve"> states: </w:t>
      </w:r>
      <w:r w:rsidRPr="00E613FA">
        <w:rPr>
          <w:rFonts w:ascii="Calibri" w:eastAsia="Calibri" w:hAnsi="Calibri" w:cs="Times New Roman"/>
        </w:rPr>
        <w:t>“</w:t>
      </w:r>
      <w:r w:rsidRPr="00E613FA">
        <w:rPr>
          <w:rFonts w:ascii="Calibri" w:eastAsia="Calibri" w:hAnsi="Calibri" w:cs="Times New Roman"/>
          <w:i/>
        </w:rPr>
        <w:t>A carer/relative can, with consent, administer a controlled drug (CD) that has been individually prescribed for a third party. As CDs are included within the legal category of prescription-only medicines (POMs), home carers who are competent to administer medicines should also be competent to administer CDs</w:t>
      </w:r>
      <w:proofErr w:type="gramStart"/>
      <w:r w:rsidRPr="00E613FA">
        <w:rPr>
          <w:rFonts w:ascii="Calibri" w:eastAsia="Calibri" w:hAnsi="Calibri" w:cs="Times New Roman"/>
        </w:rPr>
        <w:t>”</w:t>
      </w:r>
      <w:r w:rsidR="00351EC2">
        <w:rPr>
          <w:rFonts w:ascii="Calibri" w:eastAsia="Calibri" w:hAnsi="Calibri" w:cs="Times New Roman"/>
        </w:rPr>
        <w:t>.</w:t>
      </w:r>
      <w:r w:rsidR="002C17EA">
        <w:rPr>
          <w:rFonts w:ascii="Calibri" w:eastAsia="Calibri" w:hAnsi="Calibri" w:cs="Times New Roman"/>
          <w:noProof/>
        </w:rPr>
        <w:t>[</w:t>
      </w:r>
      <w:proofErr w:type="gramEnd"/>
      <w:r w:rsidR="002C17EA">
        <w:rPr>
          <w:rFonts w:ascii="Calibri" w:eastAsia="Calibri" w:hAnsi="Calibri" w:cs="Times New Roman"/>
          <w:noProof/>
        </w:rPr>
        <w:t>4]</w:t>
      </w:r>
    </w:p>
    <w:p w14:paraId="159B0248" w14:textId="77777777" w:rsidR="00E613FA" w:rsidRPr="00E613FA" w:rsidRDefault="00E613FA" w:rsidP="00CA2029">
      <w:pPr>
        <w:numPr>
          <w:ilvl w:val="0"/>
          <w:numId w:val="2"/>
        </w:numPr>
        <w:spacing w:after="0" w:line="360" w:lineRule="auto"/>
        <w:ind w:left="567" w:hanging="425"/>
        <w:contextualSpacing/>
        <w:rPr>
          <w:rFonts w:ascii="Calibri" w:eastAsia="Calibri" w:hAnsi="Calibri" w:cs="Times New Roman"/>
        </w:rPr>
      </w:pPr>
      <w:r w:rsidRPr="00E613FA">
        <w:rPr>
          <w:rFonts w:ascii="Calibri" w:eastAsia="Calibri" w:hAnsi="Calibri" w:cs="Times New Roman"/>
        </w:rPr>
        <w:t xml:space="preserve">Morphine is listed in Schedule 2, and Midazolam in Schedule </w:t>
      </w:r>
      <w:proofErr w:type="gramStart"/>
      <w:r w:rsidRPr="00E613FA">
        <w:rPr>
          <w:rFonts w:ascii="Calibri" w:eastAsia="Calibri" w:hAnsi="Calibri" w:cs="Times New Roman"/>
        </w:rPr>
        <w:t>3.</w:t>
      </w:r>
      <w:r w:rsidR="002C17EA">
        <w:rPr>
          <w:rFonts w:ascii="Calibri" w:eastAsia="Calibri" w:hAnsi="Calibri" w:cs="Times New Roman"/>
          <w:noProof/>
        </w:rPr>
        <w:t>[</w:t>
      </w:r>
      <w:proofErr w:type="gramEnd"/>
      <w:r w:rsidR="002C17EA">
        <w:rPr>
          <w:rFonts w:ascii="Calibri" w:eastAsia="Calibri" w:hAnsi="Calibri" w:cs="Times New Roman"/>
          <w:noProof/>
        </w:rPr>
        <w:t>5]</w:t>
      </w:r>
    </w:p>
    <w:p w14:paraId="76B34724" w14:textId="77777777" w:rsidR="00E613FA" w:rsidRPr="00E613FA" w:rsidRDefault="00E613FA" w:rsidP="00CA2029">
      <w:pPr>
        <w:spacing w:after="0" w:line="360" w:lineRule="auto"/>
        <w:rPr>
          <w:rFonts w:ascii="Calibri" w:eastAsia="Calibri" w:hAnsi="Calibri" w:cs="Times New Roman"/>
          <w:b/>
        </w:rPr>
      </w:pPr>
    </w:p>
    <w:p w14:paraId="56BD18C0" w14:textId="77777777" w:rsidR="00E613FA" w:rsidRPr="00E613FA" w:rsidRDefault="00E613FA" w:rsidP="00CA2029">
      <w:pPr>
        <w:spacing w:after="0" w:line="360" w:lineRule="auto"/>
        <w:rPr>
          <w:rFonts w:ascii="Calibri" w:eastAsia="Calibri" w:hAnsi="Calibri" w:cs="Times New Roman"/>
          <w:b/>
        </w:rPr>
      </w:pPr>
      <w:proofErr w:type="gramStart"/>
      <w:r w:rsidRPr="00E613FA">
        <w:rPr>
          <w:rFonts w:ascii="Calibri" w:eastAsia="Calibri" w:hAnsi="Calibri" w:cs="Times New Roman"/>
          <w:b/>
        </w:rPr>
        <w:t>As long as</w:t>
      </w:r>
      <w:proofErr w:type="gramEnd"/>
      <w:r w:rsidRPr="00E613FA">
        <w:rPr>
          <w:rFonts w:ascii="Calibri" w:eastAsia="Calibri" w:hAnsi="Calibri" w:cs="Times New Roman"/>
          <w:b/>
        </w:rPr>
        <w:t xml:space="preserve"> the carer has been appropriately trained and assessed as competent,</w:t>
      </w:r>
    </w:p>
    <w:p w14:paraId="2F6B7483" w14:textId="77777777" w:rsidR="00E613FA" w:rsidRPr="00E613FA" w:rsidRDefault="00E613FA" w:rsidP="00CA2029">
      <w:pPr>
        <w:numPr>
          <w:ilvl w:val="0"/>
          <w:numId w:val="2"/>
        </w:numPr>
        <w:spacing w:after="0" w:line="360" w:lineRule="auto"/>
        <w:ind w:left="567" w:hanging="425"/>
        <w:contextualSpacing/>
        <w:rPr>
          <w:rFonts w:ascii="Calibri" w:eastAsia="Calibri" w:hAnsi="Calibri" w:cs="Times New Roman"/>
        </w:rPr>
      </w:pPr>
      <w:r w:rsidRPr="00E613FA">
        <w:rPr>
          <w:rFonts w:ascii="Calibri" w:eastAsia="Calibri" w:hAnsi="Calibri" w:cs="Times New Roman"/>
        </w:rPr>
        <w:t>Nursing &amp; Midwifery Council (NMC) guidance, Standard 17: Delegation</w:t>
      </w:r>
      <w:r w:rsidR="00351EC2">
        <w:rPr>
          <w:rFonts w:ascii="Calibri" w:eastAsia="Calibri" w:hAnsi="Calibri" w:cs="Times New Roman"/>
        </w:rPr>
        <w:t xml:space="preserve"> states</w:t>
      </w:r>
      <w:r w:rsidRPr="00E613FA">
        <w:rPr>
          <w:rFonts w:ascii="Calibri" w:eastAsia="Calibri" w:hAnsi="Calibri" w:cs="Times New Roman"/>
        </w:rPr>
        <w:t>: “</w:t>
      </w:r>
      <w:r w:rsidRPr="00E613FA">
        <w:rPr>
          <w:rFonts w:ascii="Calibri" w:eastAsia="Calibri" w:hAnsi="Calibri" w:cs="Times New Roman"/>
          <w:i/>
        </w:rPr>
        <w:t>A registrant is responsible for the delegation of any aspects of the administration of medicinal products and they are accountable to ensure that the patient, carer or care assistant is competent to carry out the task. This will require education, training and assessment of the patient, carer or care assistant and further support if necessary. The competence of the person to whom the task has been delegated should be assessed and reviewed periodically. Records of the training received and outcome of any assessment should be clearly made and be available</w:t>
      </w:r>
      <w:proofErr w:type="gramStart"/>
      <w:r w:rsidRPr="00E613FA">
        <w:rPr>
          <w:rFonts w:ascii="Calibri" w:eastAsia="Calibri" w:hAnsi="Calibri" w:cs="Times New Roman"/>
          <w:i/>
        </w:rPr>
        <w:t>.</w:t>
      </w:r>
      <w:r w:rsidRPr="00E613FA">
        <w:rPr>
          <w:rFonts w:ascii="Calibri" w:eastAsia="Calibri" w:hAnsi="Calibri" w:cs="Times New Roman"/>
        </w:rPr>
        <w:t>”</w:t>
      </w:r>
      <w:r w:rsidR="002C17EA">
        <w:rPr>
          <w:rFonts w:ascii="Calibri" w:eastAsia="Calibri" w:hAnsi="Calibri" w:cs="Times New Roman"/>
          <w:noProof/>
        </w:rPr>
        <w:t>[</w:t>
      </w:r>
      <w:proofErr w:type="gramEnd"/>
      <w:r w:rsidR="002C17EA">
        <w:rPr>
          <w:rFonts w:ascii="Calibri" w:eastAsia="Calibri" w:hAnsi="Calibri" w:cs="Times New Roman"/>
          <w:noProof/>
        </w:rPr>
        <w:t>6]</w:t>
      </w:r>
    </w:p>
    <w:p w14:paraId="48619B9B" w14:textId="3A65C035" w:rsidR="00E613FA" w:rsidRPr="00E613FA" w:rsidRDefault="00E54983" w:rsidP="00CA2029">
      <w:pPr>
        <w:numPr>
          <w:ilvl w:val="0"/>
          <w:numId w:val="2"/>
        </w:numPr>
        <w:spacing w:after="0" w:line="360" w:lineRule="auto"/>
        <w:ind w:left="567" w:hanging="425"/>
        <w:contextualSpacing/>
        <w:rPr>
          <w:rFonts w:ascii="Calibri" w:eastAsia="Calibri" w:hAnsi="Calibri" w:cs="Times New Roman"/>
        </w:rPr>
      </w:pPr>
      <w:r w:rsidRPr="00CA2029">
        <w:rPr>
          <w:rFonts w:ascii="Calibri" w:eastAsia="Calibri" w:hAnsi="Calibri" w:cs="Times New Roman"/>
        </w:rPr>
        <w:lastRenderedPageBreak/>
        <w:t>Department of Health, Social Services and Public Safety</w:t>
      </w:r>
      <w:r>
        <w:rPr>
          <w:rFonts w:ascii="Calibri" w:eastAsia="Calibri" w:hAnsi="Calibri" w:cs="Times New Roman"/>
        </w:rPr>
        <w:t xml:space="preserve"> (Northern Ireland) guidance states:</w:t>
      </w:r>
      <w:r w:rsidRPr="00E613FA">
        <w:rPr>
          <w:rFonts w:ascii="Calibri" w:eastAsia="Calibri" w:hAnsi="Calibri" w:cs="Times New Roman"/>
        </w:rPr>
        <w:t xml:space="preserve"> </w:t>
      </w:r>
      <w:r w:rsidR="00E613FA" w:rsidRPr="00E613FA">
        <w:rPr>
          <w:rFonts w:ascii="Calibri" w:eastAsia="Calibri" w:hAnsi="Calibri" w:cs="Times New Roman"/>
        </w:rPr>
        <w:t>“</w:t>
      </w:r>
      <w:r w:rsidR="00E613FA" w:rsidRPr="00E613FA">
        <w:rPr>
          <w:rFonts w:ascii="Calibri" w:eastAsia="Calibri" w:hAnsi="Calibri" w:cs="Times New Roman"/>
          <w:i/>
        </w:rPr>
        <w:t xml:space="preserve">home carers who are appropriately trained and assessed as competent are authorised to administer orally prescribed controlled </w:t>
      </w:r>
      <w:proofErr w:type="gramStart"/>
      <w:r w:rsidR="00E613FA" w:rsidRPr="00E613FA">
        <w:rPr>
          <w:rFonts w:ascii="Calibri" w:eastAsia="Calibri" w:hAnsi="Calibri" w:cs="Times New Roman"/>
          <w:i/>
        </w:rPr>
        <w:t>drugs</w:t>
      </w:r>
      <w:r w:rsidR="00E613FA" w:rsidRPr="00E613FA">
        <w:rPr>
          <w:rFonts w:ascii="Calibri" w:eastAsia="Calibri" w:hAnsi="Calibri" w:cs="Times New Roman"/>
        </w:rPr>
        <w:t>”</w:t>
      </w:r>
      <w:r w:rsidR="002C17EA">
        <w:rPr>
          <w:rFonts w:ascii="Calibri" w:eastAsia="Calibri" w:hAnsi="Calibri" w:cs="Times New Roman"/>
          <w:noProof/>
        </w:rPr>
        <w:t>[</w:t>
      </w:r>
      <w:proofErr w:type="gramEnd"/>
      <w:r w:rsidR="002C17EA">
        <w:rPr>
          <w:rFonts w:ascii="Calibri" w:eastAsia="Calibri" w:hAnsi="Calibri" w:cs="Times New Roman"/>
          <w:noProof/>
        </w:rPr>
        <w:t>7]</w:t>
      </w:r>
    </w:p>
    <w:p w14:paraId="639B773A" w14:textId="0D5366AE" w:rsidR="00E613FA" w:rsidRPr="00E613FA" w:rsidRDefault="00E54983" w:rsidP="00CA2029">
      <w:pPr>
        <w:numPr>
          <w:ilvl w:val="0"/>
          <w:numId w:val="2"/>
        </w:numPr>
        <w:spacing w:after="0" w:line="360" w:lineRule="auto"/>
        <w:ind w:left="567" w:hanging="425"/>
        <w:contextualSpacing/>
        <w:rPr>
          <w:rFonts w:ascii="Calibri" w:eastAsia="Calibri" w:hAnsi="Calibri" w:cs="Times New Roman"/>
          <w:i/>
        </w:rPr>
      </w:pPr>
      <w:r>
        <w:rPr>
          <w:rFonts w:ascii="Calibri" w:eastAsia="Calibri" w:hAnsi="Calibri" w:cs="Times New Roman"/>
        </w:rPr>
        <w:t xml:space="preserve">The </w:t>
      </w:r>
      <w:r w:rsidRPr="00E54983">
        <w:rPr>
          <w:rFonts w:ascii="Calibri" w:eastAsia="Calibri" w:hAnsi="Calibri" w:cs="Times New Roman"/>
        </w:rPr>
        <w:t>Durham and Tess Valley Regional Medication Policy Group</w:t>
      </w:r>
      <w:r>
        <w:rPr>
          <w:rFonts w:ascii="Calibri" w:eastAsia="Calibri" w:hAnsi="Calibri" w:cs="Times New Roman"/>
        </w:rPr>
        <w:t xml:space="preserve"> states:</w:t>
      </w:r>
      <w:r w:rsidRPr="00E54983">
        <w:rPr>
          <w:rFonts w:ascii="Calibri" w:eastAsia="Calibri" w:hAnsi="Calibri" w:cs="Times New Roman"/>
        </w:rPr>
        <w:t xml:space="preserve"> </w:t>
      </w:r>
      <w:r w:rsidR="00E613FA" w:rsidRPr="00E613FA">
        <w:rPr>
          <w:rFonts w:ascii="Calibri" w:eastAsia="Calibri" w:hAnsi="Calibri" w:cs="Times New Roman"/>
        </w:rPr>
        <w:t>“</w:t>
      </w:r>
      <w:r w:rsidR="00E613FA" w:rsidRPr="00E613FA">
        <w:rPr>
          <w:rFonts w:ascii="Calibri" w:eastAsia="Calibri" w:hAnsi="Calibri" w:cs="Times New Roman"/>
          <w:i/>
        </w:rPr>
        <w:t>The cornerstone of the policy is a risk assessment to identify appropriate support for service users and the provision of appropriate training for those staff that will assist service users with medication. A carer administering a medicine will not be held responsible for any adverse effects, providing a medicine has been given in accordance with a prescriber’s instructions and local policies have been followed. Employing organisations should include medication tasks in any indemnity insurance they arrange</w:t>
      </w:r>
      <w:proofErr w:type="gramStart"/>
      <w:r w:rsidR="00E613FA" w:rsidRPr="00E613FA">
        <w:rPr>
          <w:rFonts w:ascii="Calibri" w:eastAsia="Calibri" w:hAnsi="Calibri" w:cs="Times New Roman"/>
          <w:i/>
        </w:rPr>
        <w:t>.”</w:t>
      </w:r>
      <w:r w:rsidR="002C17EA" w:rsidRPr="002C17EA">
        <w:rPr>
          <w:rFonts w:ascii="Calibri" w:eastAsia="Calibri" w:hAnsi="Calibri" w:cs="Times New Roman"/>
          <w:noProof/>
        </w:rPr>
        <w:t>[</w:t>
      </w:r>
      <w:proofErr w:type="gramEnd"/>
      <w:r w:rsidR="002C17EA" w:rsidRPr="002C17EA">
        <w:rPr>
          <w:rFonts w:ascii="Calibri" w:eastAsia="Calibri" w:hAnsi="Calibri" w:cs="Times New Roman"/>
          <w:noProof/>
        </w:rPr>
        <w:t>8]</w:t>
      </w:r>
    </w:p>
    <w:p w14:paraId="5E39D7D1" w14:textId="77777777" w:rsidR="00E613FA" w:rsidRPr="00E613FA" w:rsidRDefault="00E613FA" w:rsidP="00CA2029">
      <w:pPr>
        <w:spacing w:after="0" w:line="360" w:lineRule="auto"/>
        <w:rPr>
          <w:rFonts w:ascii="Calibri" w:eastAsia="Calibri" w:hAnsi="Calibri" w:cs="Times New Roman"/>
          <w:b/>
        </w:rPr>
      </w:pPr>
    </w:p>
    <w:p w14:paraId="6C194E68" w14:textId="77777777" w:rsidR="00E613FA" w:rsidRPr="00E613FA" w:rsidRDefault="00E613FA" w:rsidP="00CA2029">
      <w:pPr>
        <w:spacing w:after="0" w:line="360" w:lineRule="auto"/>
        <w:rPr>
          <w:rFonts w:ascii="Calibri" w:eastAsia="Calibri" w:hAnsi="Calibri" w:cs="Times New Roman"/>
        </w:rPr>
      </w:pPr>
      <w:proofErr w:type="gramStart"/>
      <w:r w:rsidRPr="00E613FA">
        <w:rPr>
          <w:rFonts w:ascii="Calibri" w:eastAsia="Calibri" w:hAnsi="Calibri" w:cs="Times New Roman"/>
          <w:b/>
        </w:rPr>
        <w:t>Specifically</w:t>
      </w:r>
      <w:proofErr w:type="gramEnd"/>
      <w:r w:rsidRPr="00E613FA">
        <w:rPr>
          <w:rFonts w:ascii="Calibri" w:eastAsia="Calibri" w:hAnsi="Calibri" w:cs="Times New Roman"/>
          <w:b/>
        </w:rPr>
        <w:t xml:space="preserve"> in medication management.</w:t>
      </w:r>
    </w:p>
    <w:p w14:paraId="21E1D1B0" w14:textId="09441266" w:rsidR="00E613FA" w:rsidRPr="00E613FA" w:rsidRDefault="00E54983" w:rsidP="00CA2029">
      <w:pPr>
        <w:numPr>
          <w:ilvl w:val="0"/>
          <w:numId w:val="4"/>
        </w:numPr>
        <w:spacing w:after="0" w:line="360" w:lineRule="auto"/>
        <w:ind w:left="567" w:hanging="425"/>
        <w:contextualSpacing/>
        <w:rPr>
          <w:rFonts w:ascii="Calibri" w:eastAsia="Calibri" w:hAnsi="Calibri" w:cs="Times New Roman"/>
        </w:rPr>
      </w:pPr>
      <w:r>
        <w:rPr>
          <w:rFonts w:ascii="Calibri" w:eastAsia="Calibri" w:hAnsi="Calibri" w:cs="Times New Roman"/>
        </w:rPr>
        <w:t xml:space="preserve">The </w:t>
      </w:r>
      <w:r w:rsidRPr="00E54983">
        <w:rPr>
          <w:rFonts w:ascii="Calibri" w:eastAsia="Calibri" w:hAnsi="Calibri" w:cs="Times New Roman"/>
        </w:rPr>
        <w:t>Durham and Tess Valley Regional Medication Policy Group</w:t>
      </w:r>
      <w:r>
        <w:rPr>
          <w:rFonts w:ascii="Calibri" w:eastAsia="Calibri" w:hAnsi="Calibri" w:cs="Times New Roman"/>
        </w:rPr>
        <w:t xml:space="preserve"> </w:t>
      </w:r>
      <w:r w:rsidR="00EE621D">
        <w:rPr>
          <w:rFonts w:ascii="Calibri" w:eastAsia="Calibri" w:hAnsi="Calibri" w:cs="Times New Roman"/>
        </w:rPr>
        <w:t>continues:</w:t>
      </w:r>
      <w:r w:rsidR="00EE621D" w:rsidRPr="00E613FA">
        <w:rPr>
          <w:rFonts w:ascii="Calibri" w:eastAsia="Calibri" w:hAnsi="Calibri" w:cs="Times New Roman"/>
          <w:i/>
        </w:rPr>
        <w:t xml:space="preserve"> </w:t>
      </w:r>
      <w:r w:rsidR="00E613FA" w:rsidRPr="00E613FA">
        <w:rPr>
          <w:rFonts w:ascii="Calibri" w:eastAsia="Calibri" w:hAnsi="Calibri" w:cs="Times New Roman"/>
          <w:i/>
        </w:rPr>
        <w:t>“Carers will operate within a safe system which will be based on a risk assessment and this will need to be underpinned by a structured programme of education and learning in the safe handling, administration and management of medication</w:t>
      </w:r>
      <w:proofErr w:type="gramStart"/>
      <w:r w:rsidR="00E613FA" w:rsidRPr="00E613FA">
        <w:rPr>
          <w:rFonts w:ascii="Calibri" w:eastAsia="Calibri" w:hAnsi="Calibri" w:cs="Times New Roman"/>
          <w:i/>
        </w:rPr>
        <w:t>.”</w:t>
      </w:r>
      <w:r w:rsidR="002C17EA">
        <w:rPr>
          <w:rFonts w:ascii="Calibri" w:eastAsia="Calibri" w:hAnsi="Calibri" w:cs="Times New Roman"/>
          <w:noProof/>
        </w:rPr>
        <w:t>[</w:t>
      </w:r>
      <w:proofErr w:type="gramEnd"/>
      <w:r w:rsidR="002C17EA">
        <w:rPr>
          <w:rFonts w:ascii="Calibri" w:eastAsia="Calibri" w:hAnsi="Calibri" w:cs="Times New Roman"/>
          <w:noProof/>
        </w:rPr>
        <w:t>8]</w:t>
      </w:r>
    </w:p>
    <w:p w14:paraId="6F36019C" w14:textId="77777777" w:rsidR="00E613FA" w:rsidRPr="00E613FA" w:rsidRDefault="00E613FA" w:rsidP="00CA2029">
      <w:pPr>
        <w:numPr>
          <w:ilvl w:val="0"/>
          <w:numId w:val="4"/>
        </w:numPr>
        <w:spacing w:after="0" w:line="360" w:lineRule="auto"/>
        <w:ind w:left="567" w:hanging="425"/>
        <w:contextualSpacing/>
        <w:rPr>
          <w:rFonts w:ascii="Calibri" w:eastAsia="Calibri" w:hAnsi="Calibri" w:cs="Times New Roman"/>
        </w:rPr>
      </w:pPr>
      <w:r w:rsidRPr="00E613FA">
        <w:rPr>
          <w:rFonts w:ascii="Calibri" w:eastAsia="Calibri" w:hAnsi="Calibri" w:cs="Times New Roman"/>
        </w:rPr>
        <w:t xml:space="preserve">Procedures are already in place in the UK to handle/store medications (including for anticipatory care purposes) in the patient’s </w:t>
      </w:r>
      <w:proofErr w:type="gramStart"/>
      <w:r w:rsidRPr="00E613FA">
        <w:rPr>
          <w:rFonts w:ascii="Calibri" w:eastAsia="Calibri" w:hAnsi="Calibri" w:cs="Times New Roman"/>
        </w:rPr>
        <w:t>home</w:t>
      </w:r>
      <w:r w:rsidR="002C17EA">
        <w:rPr>
          <w:rFonts w:ascii="Calibri" w:eastAsia="Calibri" w:hAnsi="Calibri" w:cs="Times New Roman"/>
        </w:rPr>
        <w:t>.</w:t>
      </w:r>
      <w:r w:rsidR="002C17EA">
        <w:rPr>
          <w:rFonts w:ascii="Calibri" w:eastAsia="Calibri" w:hAnsi="Calibri" w:cs="Times New Roman"/>
          <w:noProof/>
        </w:rPr>
        <w:t>[</w:t>
      </w:r>
      <w:proofErr w:type="gramEnd"/>
      <w:r w:rsidR="002C17EA">
        <w:rPr>
          <w:rFonts w:ascii="Calibri" w:eastAsia="Calibri" w:hAnsi="Calibri" w:cs="Times New Roman"/>
          <w:noProof/>
        </w:rPr>
        <w:t>9]</w:t>
      </w:r>
    </w:p>
    <w:p w14:paraId="05E8B21D" w14:textId="77777777" w:rsidR="00E613FA" w:rsidRPr="00E613FA" w:rsidRDefault="00E613FA" w:rsidP="00CA2029">
      <w:pPr>
        <w:spacing w:after="0" w:line="360" w:lineRule="auto"/>
        <w:rPr>
          <w:rFonts w:ascii="Calibri" w:eastAsia="Calibri" w:hAnsi="Calibri" w:cs="Times New Roman"/>
          <w:b/>
        </w:rPr>
      </w:pPr>
    </w:p>
    <w:p w14:paraId="4B05C080" w14:textId="77777777" w:rsidR="00E613FA" w:rsidRPr="00E613FA" w:rsidRDefault="00E613FA" w:rsidP="00CA2029">
      <w:pPr>
        <w:spacing w:after="0" w:line="360" w:lineRule="auto"/>
        <w:rPr>
          <w:rFonts w:ascii="Calibri" w:eastAsia="Calibri" w:hAnsi="Calibri" w:cs="Times New Roman"/>
          <w:b/>
        </w:rPr>
      </w:pPr>
      <w:r w:rsidRPr="00E613FA">
        <w:rPr>
          <w:rFonts w:ascii="Calibri" w:eastAsia="Calibri" w:hAnsi="Calibri" w:cs="Times New Roman"/>
          <w:b/>
        </w:rPr>
        <w:t>This is true even if the medication is given to a patient lacking capacity,</w:t>
      </w:r>
    </w:p>
    <w:p w14:paraId="36B6D0A8" w14:textId="77777777" w:rsidR="00E613FA" w:rsidRPr="00E613FA" w:rsidRDefault="00E613FA" w:rsidP="00CA2029">
      <w:pPr>
        <w:numPr>
          <w:ilvl w:val="0"/>
          <w:numId w:val="2"/>
        </w:numPr>
        <w:spacing w:after="0" w:line="360" w:lineRule="auto"/>
        <w:ind w:left="567" w:hanging="425"/>
        <w:contextualSpacing/>
        <w:rPr>
          <w:rFonts w:ascii="Calibri" w:eastAsia="Calibri" w:hAnsi="Calibri" w:cs="Times New Roman"/>
        </w:rPr>
      </w:pPr>
      <w:r w:rsidRPr="00E613FA">
        <w:rPr>
          <w:rFonts w:ascii="Calibri" w:eastAsia="Calibri" w:hAnsi="Calibri" w:cs="Times New Roman"/>
        </w:rPr>
        <w:t>Medication can be given to a patient who lacks capacity if it is in his or her best interests.  The Mental Capacity Act (MCA) 2005 Section 1(5) states: “</w:t>
      </w:r>
      <w:r w:rsidRPr="00E613FA">
        <w:rPr>
          <w:rFonts w:ascii="Calibri" w:eastAsia="Calibri" w:hAnsi="Calibri" w:cs="Times New Roman"/>
          <w:i/>
        </w:rPr>
        <w:t>An act done, or decision made, under this Act for or on behalf of a person who lacks capacity must be done, or made, in his best interests</w:t>
      </w:r>
      <w:proofErr w:type="gramStart"/>
      <w:r w:rsidRPr="00E613FA">
        <w:rPr>
          <w:rFonts w:ascii="Calibri" w:eastAsia="Calibri" w:hAnsi="Calibri" w:cs="Times New Roman"/>
        </w:rPr>
        <w:t>.”</w:t>
      </w:r>
      <w:r w:rsidR="002C17EA">
        <w:rPr>
          <w:rFonts w:ascii="Calibri" w:eastAsia="Calibri" w:hAnsi="Calibri" w:cs="Times New Roman"/>
          <w:noProof/>
        </w:rPr>
        <w:t>[</w:t>
      </w:r>
      <w:proofErr w:type="gramEnd"/>
      <w:r w:rsidR="002C17EA">
        <w:rPr>
          <w:rFonts w:ascii="Calibri" w:eastAsia="Calibri" w:hAnsi="Calibri" w:cs="Times New Roman"/>
          <w:noProof/>
        </w:rPr>
        <w:t>10]</w:t>
      </w:r>
    </w:p>
    <w:p w14:paraId="1E6F94ED" w14:textId="77777777" w:rsidR="00E613FA" w:rsidRPr="00E613FA" w:rsidRDefault="00E613FA" w:rsidP="00CA2029">
      <w:pPr>
        <w:numPr>
          <w:ilvl w:val="0"/>
          <w:numId w:val="2"/>
        </w:numPr>
        <w:spacing w:after="0" w:line="360" w:lineRule="auto"/>
        <w:ind w:left="567" w:hanging="425"/>
        <w:contextualSpacing/>
        <w:rPr>
          <w:rFonts w:ascii="Calibri" w:eastAsia="Calibri" w:hAnsi="Calibri" w:cs="Times New Roman"/>
          <w:i/>
        </w:rPr>
      </w:pPr>
      <w:r w:rsidRPr="00E613FA">
        <w:rPr>
          <w:rFonts w:ascii="Calibri" w:eastAsia="Calibri" w:hAnsi="Calibri" w:cs="Times New Roman"/>
        </w:rPr>
        <w:t>The MCA 2005 permits the relevant actions to be performed by those with appropriate skills or expertise (</w:t>
      </w:r>
      <w:proofErr w:type="gramStart"/>
      <w:r w:rsidRPr="00E613FA">
        <w:rPr>
          <w:rFonts w:ascii="Calibri" w:eastAsia="Calibri" w:hAnsi="Calibri" w:cs="Times New Roman"/>
        </w:rPr>
        <w:t>as long as</w:t>
      </w:r>
      <w:proofErr w:type="gramEnd"/>
      <w:r w:rsidRPr="00E613FA">
        <w:rPr>
          <w:rFonts w:ascii="Calibri" w:eastAsia="Calibri" w:hAnsi="Calibri" w:cs="Times New Roman"/>
        </w:rPr>
        <w:t xml:space="preserve"> the carer has been appropriately trained and assessed as competent).   The Code of Practice explains: “</w:t>
      </w:r>
      <w:r w:rsidRPr="00E613FA">
        <w:rPr>
          <w:rFonts w:ascii="Calibri" w:eastAsia="Calibri" w:hAnsi="Calibri" w:cs="Times New Roman"/>
          <w:i/>
        </w:rPr>
        <w:t xml:space="preserve">To receive protection from liability under section 5, all actions must be related to the care or treatment of the person who lacks capacity to consent. Before </w:t>
      </w:r>
      <w:proofErr w:type="gramStart"/>
      <w:r w:rsidRPr="00E613FA">
        <w:rPr>
          <w:rFonts w:ascii="Calibri" w:eastAsia="Calibri" w:hAnsi="Calibri" w:cs="Times New Roman"/>
          <w:i/>
        </w:rPr>
        <w:t>taking action</w:t>
      </w:r>
      <w:proofErr w:type="gramEnd"/>
      <w:r w:rsidRPr="00E613FA">
        <w:rPr>
          <w:rFonts w:ascii="Calibri" w:eastAsia="Calibri" w:hAnsi="Calibri" w:cs="Times New Roman"/>
          <w:i/>
        </w:rPr>
        <w:t>, carers must first reasonably believe that:</w:t>
      </w:r>
    </w:p>
    <w:p w14:paraId="39B0FE0C" w14:textId="77777777" w:rsidR="00E613FA" w:rsidRPr="00E613FA" w:rsidRDefault="00E613FA" w:rsidP="00CA2029">
      <w:pPr>
        <w:numPr>
          <w:ilvl w:val="1"/>
          <w:numId w:val="2"/>
        </w:numPr>
        <w:spacing w:after="0" w:line="360" w:lineRule="auto"/>
        <w:contextualSpacing/>
        <w:rPr>
          <w:rFonts w:ascii="Calibri" w:eastAsia="Calibri" w:hAnsi="Calibri" w:cs="Times New Roman"/>
          <w:i/>
        </w:rPr>
      </w:pPr>
      <w:r w:rsidRPr="00E613FA">
        <w:rPr>
          <w:rFonts w:ascii="Calibri" w:eastAsia="Calibri" w:hAnsi="Calibri" w:cs="Times New Roman"/>
          <w:i/>
        </w:rPr>
        <w:t xml:space="preserve">the person lacks the capacity to make that </w:t>
      </w:r>
      <w:proofErr w:type="gramStart"/>
      <w:r w:rsidRPr="00E613FA">
        <w:rPr>
          <w:rFonts w:ascii="Calibri" w:eastAsia="Calibri" w:hAnsi="Calibri" w:cs="Times New Roman"/>
          <w:i/>
        </w:rPr>
        <w:t>particular decision</w:t>
      </w:r>
      <w:proofErr w:type="gramEnd"/>
      <w:r w:rsidRPr="00E613FA">
        <w:rPr>
          <w:rFonts w:ascii="Calibri" w:eastAsia="Calibri" w:hAnsi="Calibri" w:cs="Times New Roman"/>
          <w:i/>
        </w:rPr>
        <w:t xml:space="preserve"> at the time it needs to be made, and</w:t>
      </w:r>
    </w:p>
    <w:p w14:paraId="560EE3CE" w14:textId="77777777" w:rsidR="00E613FA" w:rsidRPr="00E613FA" w:rsidRDefault="00E613FA" w:rsidP="00CA2029">
      <w:pPr>
        <w:numPr>
          <w:ilvl w:val="1"/>
          <w:numId w:val="2"/>
        </w:numPr>
        <w:spacing w:after="0" w:line="360" w:lineRule="auto"/>
        <w:contextualSpacing/>
        <w:rPr>
          <w:rFonts w:ascii="Calibri" w:eastAsia="Calibri" w:hAnsi="Calibri" w:cs="Times New Roman"/>
        </w:rPr>
      </w:pPr>
      <w:r w:rsidRPr="00E613FA">
        <w:rPr>
          <w:rFonts w:ascii="Calibri" w:eastAsia="Calibri" w:hAnsi="Calibri" w:cs="Times New Roman"/>
          <w:i/>
        </w:rPr>
        <w:t>the action is in the person’s best interests</w:t>
      </w:r>
      <w:proofErr w:type="gramStart"/>
      <w:r w:rsidRPr="00E613FA">
        <w:rPr>
          <w:rFonts w:ascii="Calibri" w:eastAsia="Calibri" w:hAnsi="Calibri" w:cs="Times New Roman"/>
          <w:i/>
        </w:rPr>
        <w:t>.</w:t>
      </w:r>
      <w:r w:rsidRPr="00E613FA">
        <w:rPr>
          <w:rFonts w:ascii="Calibri" w:eastAsia="Calibri" w:hAnsi="Calibri" w:cs="Times New Roman"/>
        </w:rPr>
        <w:t>”</w:t>
      </w:r>
      <w:r w:rsidR="002C17EA">
        <w:rPr>
          <w:rFonts w:ascii="Calibri" w:eastAsia="Calibri" w:hAnsi="Calibri" w:cs="Times New Roman"/>
          <w:noProof/>
        </w:rPr>
        <w:t>[</w:t>
      </w:r>
      <w:proofErr w:type="gramEnd"/>
      <w:r w:rsidR="002C17EA">
        <w:rPr>
          <w:rFonts w:ascii="Calibri" w:eastAsia="Calibri" w:hAnsi="Calibri" w:cs="Times New Roman"/>
          <w:noProof/>
        </w:rPr>
        <w:t>11]</w:t>
      </w:r>
    </w:p>
    <w:p w14:paraId="144640B0" w14:textId="77777777" w:rsidR="00E613FA" w:rsidRPr="00E613FA" w:rsidRDefault="00E613FA" w:rsidP="00CA2029">
      <w:pPr>
        <w:spacing w:after="0" w:line="360" w:lineRule="auto"/>
        <w:rPr>
          <w:rFonts w:ascii="Calibri" w:eastAsia="Calibri" w:hAnsi="Calibri" w:cs="Times New Roman"/>
          <w:b/>
        </w:rPr>
      </w:pPr>
    </w:p>
    <w:p w14:paraId="662C5429" w14:textId="77777777" w:rsidR="00E613FA" w:rsidRPr="00E613FA" w:rsidRDefault="00E613FA" w:rsidP="00CA2029">
      <w:pPr>
        <w:spacing w:after="0" w:line="360" w:lineRule="auto"/>
        <w:rPr>
          <w:rFonts w:ascii="Calibri" w:eastAsia="Calibri" w:hAnsi="Calibri" w:cs="Times New Roman"/>
          <w:b/>
        </w:rPr>
      </w:pPr>
      <w:r w:rsidRPr="00E613FA">
        <w:rPr>
          <w:rFonts w:ascii="Calibri" w:eastAsia="Calibri" w:hAnsi="Calibri" w:cs="Times New Roman"/>
          <w:b/>
        </w:rPr>
        <w:t>And/or if the medication is administered via injection.</w:t>
      </w:r>
    </w:p>
    <w:p w14:paraId="4DA599E3" w14:textId="26EF9D76" w:rsidR="00E613FA" w:rsidRPr="00E613FA" w:rsidRDefault="00EE621D" w:rsidP="00CA2029">
      <w:pPr>
        <w:numPr>
          <w:ilvl w:val="0"/>
          <w:numId w:val="2"/>
        </w:numPr>
        <w:spacing w:after="0" w:line="360" w:lineRule="auto"/>
        <w:ind w:left="567" w:hanging="425"/>
        <w:contextualSpacing/>
        <w:rPr>
          <w:rFonts w:ascii="Calibri" w:eastAsia="Calibri" w:hAnsi="Calibri" w:cs="Times New Roman"/>
        </w:rPr>
      </w:pPr>
      <w:r>
        <w:rPr>
          <w:rFonts w:ascii="Calibri" w:eastAsia="Calibri" w:hAnsi="Calibri" w:cs="Times New Roman"/>
        </w:rPr>
        <w:t xml:space="preserve">The </w:t>
      </w:r>
      <w:r w:rsidRPr="00E54983">
        <w:rPr>
          <w:rFonts w:ascii="Calibri" w:eastAsia="Calibri" w:hAnsi="Calibri" w:cs="Times New Roman"/>
        </w:rPr>
        <w:t>Durham and Tess Valley Regional Medication Policy Group</w:t>
      </w:r>
      <w:r>
        <w:rPr>
          <w:rFonts w:ascii="Calibri" w:eastAsia="Calibri" w:hAnsi="Calibri" w:cs="Times New Roman"/>
        </w:rPr>
        <w:t xml:space="preserve"> states</w:t>
      </w:r>
      <w:r w:rsidRPr="00E613FA">
        <w:rPr>
          <w:rFonts w:ascii="Calibri" w:eastAsia="Calibri" w:hAnsi="Calibri" w:cs="Times New Roman"/>
        </w:rPr>
        <w:t xml:space="preserve"> </w:t>
      </w:r>
      <w:r>
        <w:rPr>
          <w:rFonts w:ascii="Calibri" w:eastAsia="Calibri" w:hAnsi="Calibri" w:cs="Times New Roman"/>
        </w:rPr>
        <w:t>that f</w:t>
      </w:r>
      <w:r w:rsidR="00E613FA" w:rsidRPr="00E613FA">
        <w:rPr>
          <w:rFonts w:ascii="Calibri" w:eastAsia="Calibri" w:hAnsi="Calibri" w:cs="Times New Roman"/>
        </w:rPr>
        <w:t xml:space="preserve">or specialist tasks (including injections) a suitable health professional needs to give additional training and confirm that the carer is competent to provide such </w:t>
      </w:r>
      <w:proofErr w:type="gramStart"/>
      <w:r w:rsidR="00E613FA" w:rsidRPr="00E613FA">
        <w:rPr>
          <w:rFonts w:ascii="Calibri" w:eastAsia="Calibri" w:hAnsi="Calibri" w:cs="Times New Roman"/>
        </w:rPr>
        <w:t>care.</w:t>
      </w:r>
      <w:r w:rsidR="002C17EA">
        <w:rPr>
          <w:rFonts w:ascii="Calibri" w:eastAsia="Calibri" w:hAnsi="Calibri" w:cs="Times New Roman"/>
          <w:noProof/>
        </w:rPr>
        <w:t>[</w:t>
      </w:r>
      <w:proofErr w:type="gramEnd"/>
      <w:r w:rsidR="002C17EA">
        <w:rPr>
          <w:rFonts w:ascii="Calibri" w:eastAsia="Calibri" w:hAnsi="Calibri" w:cs="Times New Roman"/>
          <w:noProof/>
        </w:rPr>
        <w:t>8]</w:t>
      </w:r>
    </w:p>
    <w:p w14:paraId="650D7001" w14:textId="77777777" w:rsidR="00E613FA" w:rsidRPr="00E613FA" w:rsidRDefault="00E613FA" w:rsidP="00CA2029">
      <w:pPr>
        <w:spacing w:after="0" w:line="360" w:lineRule="auto"/>
        <w:rPr>
          <w:rFonts w:ascii="Calibri" w:eastAsia="Calibri" w:hAnsi="Calibri" w:cs="Times New Roman"/>
          <w:b/>
        </w:rPr>
      </w:pPr>
    </w:p>
    <w:p w14:paraId="4F8ECEB3" w14:textId="77777777" w:rsidR="00E613FA" w:rsidRPr="00E613FA" w:rsidRDefault="00E613FA" w:rsidP="00CA2029">
      <w:pPr>
        <w:spacing w:after="0" w:line="360" w:lineRule="auto"/>
        <w:rPr>
          <w:rFonts w:ascii="Calibri" w:eastAsia="Calibri" w:hAnsi="Calibri" w:cs="Times New Roman"/>
          <w:b/>
        </w:rPr>
      </w:pPr>
      <w:r w:rsidRPr="00E613FA">
        <w:rPr>
          <w:rFonts w:ascii="Calibri" w:eastAsia="Calibri" w:hAnsi="Calibri" w:cs="Times New Roman"/>
          <w:b/>
        </w:rPr>
        <w:t>At present, injections are prepared immediately before administration</w:t>
      </w:r>
    </w:p>
    <w:p w14:paraId="349C77EE" w14:textId="517877C8" w:rsidR="00E613FA" w:rsidRPr="00E613FA" w:rsidRDefault="00E613FA" w:rsidP="00CA2029">
      <w:pPr>
        <w:numPr>
          <w:ilvl w:val="0"/>
          <w:numId w:val="2"/>
        </w:numPr>
        <w:spacing w:after="0" w:line="360" w:lineRule="auto"/>
        <w:ind w:left="567" w:hanging="425"/>
        <w:contextualSpacing/>
        <w:rPr>
          <w:rFonts w:ascii="Calibri" w:eastAsia="Calibri" w:hAnsi="Calibri" w:cs="Times New Roman"/>
        </w:rPr>
      </w:pPr>
      <w:r w:rsidRPr="00E613FA">
        <w:rPr>
          <w:rFonts w:ascii="Calibri" w:eastAsia="Calibri" w:hAnsi="Calibri" w:cs="Times New Roman"/>
        </w:rPr>
        <w:t>NMC Guidance, standard 14</w:t>
      </w:r>
      <w:r w:rsidR="00351EC2">
        <w:rPr>
          <w:rFonts w:ascii="Calibri" w:eastAsia="Calibri" w:hAnsi="Calibri" w:cs="Times New Roman"/>
        </w:rPr>
        <w:t xml:space="preserve"> states</w:t>
      </w:r>
      <w:r w:rsidRPr="00E613FA">
        <w:rPr>
          <w:rFonts w:ascii="Calibri" w:eastAsia="Calibri" w:hAnsi="Calibri" w:cs="Times New Roman"/>
        </w:rPr>
        <w:t>: “</w:t>
      </w:r>
      <w:r w:rsidRPr="00E613FA">
        <w:rPr>
          <w:rFonts w:ascii="Calibri" w:eastAsia="Calibri" w:hAnsi="Calibri" w:cs="Times New Roman"/>
          <w:i/>
        </w:rPr>
        <w:t>Registrants must not prepare substances for injection in advance of their immediate use or administer medication drawn into a syringe or container by another practitioner when not in their presence</w:t>
      </w:r>
      <w:r w:rsidRPr="00E613FA">
        <w:rPr>
          <w:rFonts w:ascii="Calibri" w:eastAsia="Calibri" w:hAnsi="Calibri" w:cs="Times New Roman"/>
        </w:rPr>
        <w:t>.”</w:t>
      </w:r>
      <w:r w:rsidR="002C17EA">
        <w:rPr>
          <w:rFonts w:ascii="Calibri" w:eastAsia="Calibri" w:hAnsi="Calibri" w:cs="Times New Roman"/>
          <w:noProof/>
        </w:rPr>
        <w:t xml:space="preserve">[6] </w:t>
      </w:r>
      <w:r w:rsidR="00351EC2">
        <w:rPr>
          <w:rFonts w:ascii="Calibri" w:eastAsia="Calibri" w:hAnsi="Calibri" w:cs="Times New Roman"/>
        </w:rPr>
        <w:t>The</w:t>
      </w:r>
      <w:r w:rsidRPr="00E613FA">
        <w:rPr>
          <w:rFonts w:ascii="Calibri" w:eastAsia="Calibri" w:hAnsi="Calibri" w:cs="Times New Roman"/>
        </w:rPr>
        <w:t xml:space="preserve"> guidance</w:t>
      </w:r>
      <w:r w:rsidR="00351EC2">
        <w:rPr>
          <w:rFonts w:ascii="Calibri" w:eastAsia="Calibri" w:hAnsi="Calibri" w:cs="Times New Roman"/>
        </w:rPr>
        <w:t xml:space="preserve"> continues</w:t>
      </w:r>
      <w:r w:rsidRPr="00E613FA">
        <w:rPr>
          <w:rFonts w:ascii="Calibri" w:eastAsia="Calibri" w:hAnsi="Calibri" w:cs="Times New Roman"/>
        </w:rPr>
        <w:t>: “</w:t>
      </w:r>
      <w:r w:rsidRPr="00E613FA">
        <w:rPr>
          <w:rFonts w:ascii="Calibri" w:eastAsia="Calibri" w:hAnsi="Calibri" w:cs="Times New Roman"/>
          <w:i/>
        </w:rPr>
        <w:t xml:space="preserve">Where a registrant has delegated to a named individual for a </w:t>
      </w:r>
      <w:r w:rsidRPr="00E613FA">
        <w:rPr>
          <w:rFonts w:ascii="Calibri" w:eastAsia="Calibri" w:hAnsi="Calibri" w:cs="Times New Roman"/>
          <w:i/>
        </w:rPr>
        <w:lastRenderedPageBreak/>
        <w:t>named patient’s medication, this may be drawn up in advance to enable the healthcare assistant (HCA) or family to administer the medication. The registrant is accountable for the delegation, and a full risk assessment should be documented in the patient’s records ensuring the registrant is aware of the risks before agreeing to delegate.</w:t>
      </w:r>
      <w:r w:rsidRPr="00E613FA">
        <w:rPr>
          <w:rFonts w:ascii="Calibri" w:eastAsia="Calibri" w:hAnsi="Calibri" w:cs="Times New Roman"/>
        </w:rPr>
        <w:t>”</w:t>
      </w:r>
    </w:p>
    <w:p w14:paraId="71B1A333" w14:textId="77777777" w:rsidR="00E613FA" w:rsidRPr="00E613FA" w:rsidRDefault="00E613FA" w:rsidP="00CA2029">
      <w:pPr>
        <w:numPr>
          <w:ilvl w:val="0"/>
          <w:numId w:val="2"/>
        </w:numPr>
        <w:spacing w:after="0" w:line="360" w:lineRule="auto"/>
        <w:ind w:left="567" w:hanging="425"/>
        <w:contextualSpacing/>
        <w:rPr>
          <w:rFonts w:ascii="Calibri" w:eastAsia="Calibri" w:hAnsi="Calibri" w:cs="Times New Roman"/>
        </w:rPr>
      </w:pPr>
      <w:r w:rsidRPr="00E613FA">
        <w:rPr>
          <w:rFonts w:ascii="Calibri" w:eastAsia="Calibri" w:hAnsi="Calibri" w:cs="Times New Roman"/>
        </w:rPr>
        <w:t xml:space="preserve">Note: There is evidence that the practice of drawing up and leaving these medications in syringes, for this type of practice, is safe in terms of sterility, potency and </w:t>
      </w:r>
      <w:proofErr w:type="gramStart"/>
      <w:r w:rsidRPr="00E613FA">
        <w:rPr>
          <w:rFonts w:ascii="Calibri" w:eastAsia="Calibri" w:hAnsi="Calibri" w:cs="Times New Roman"/>
        </w:rPr>
        <w:t>stability.</w:t>
      </w:r>
      <w:r w:rsidR="002C17EA">
        <w:rPr>
          <w:rFonts w:ascii="Calibri" w:eastAsia="Calibri" w:hAnsi="Calibri" w:cs="Times New Roman"/>
          <w:noProof/>
        </w:rPr>
        <w:t>[</w:t>
      </w:r>
      <w:proofErr w:type="gramEnd"/>
      <w:r w:rsidR="002C17EA">
        <w:rPr>
          <w:rFonts w:ascii="Calibri" w:eastAsia="Calibri" w:hAnsi="Calibri" w:cs="Times New Roman"/>
          <w:noProof/>
        </w:rPr>
        <w:t>12]</w:t>
      </w:r>
      <w:r w:rsidR="002C17EA">
        <w:rPr>
          <w:rFonts w:ascii="Calibri" w:eastAsia="Calibri" w:hAnsi="Calibri" w:cs="Times New Roman"/>
        </w:rPr>
        <w:t xml:space="preserve"> </w:t>
      </w:r>
      <w:r w:rsidRPr="00E613FA">
        <w:rPr>
          <w:rFonts w:ascii="Calibri" w:eastAsia="Calibri" w:hAnsi="Calibri" w:cs="Times New Roman"/>
        </w:rPr>
        <w:t>The team tested a full range</w:t>
      </w:r>
      <w:r w:rsidR="0019332D">
        <w:rPr>
          <w:rFonts w:ascii="Calibri" w:eastAsia="Calibri" w:hAnsi="Calibri" w:cs="Times New Roman"/>
        </w:rPr>
        <w:t xml:space="preserve"> of medications </w:t>
      </w:r>
      <w:r w:rsidRPr="00E613FA">
        <w:rPr>
          <w:rFonts w:ascii="Calibri" w:eastAsia="Calibri" w:hAnsi="Calibri" w:cs="Times New Roman"/>
        </w:rPr>
        <w:t>for 28 days.</w:t>
      </w:r>
    </w:p>
    <w:p w14:paraId="46CECF24" w14:textId="77777777" w:rsidR="00E613FA" w:rsidRPr="00E613FA" w:rsidRDefault="00E613FA" w:rsidP="00CA2029">
      <w:pPr>
        <w:spacing w:after="0" w:line="360" w:lineRule="auto"/>
        <w:rPr>
          <w:rFonts w:ascii="Calibri" w:eastAsia="Calibri" w:hAnsi="Calibri" w:cs="Times New Roman"/>
          <w:b/>
        </w:rPr>
      </w:pPr>
    </w:p>
    <w:p w14:paraId="06ED7C69" w14:textId="77777777" w:rsidR="00E613FA" w:rsidRPr="00E613FA" w:rsidRDefault="00E613FA" w:rsidP="00CA2029">
      <w:pPr>
        <w:spacing w:after="0" w:line="360" w:lineRule="auto"/>
        <w:rPr>
          <w:rFonts w:ascii="Calibri" w:eastAsia="Calibri" w:hAnsi="Calibri" w:cs="Times New Roman"/>
          <w:b/>
        </w:rPr>
      </w:pPr>
      <w:r w:rsidRPr="00E613FA">
        <w:rPr>
          <w:rFonts w:ascii="Calibri" w:eastAsia="Calibri" w:hAnsi="Calibri" w:cs="Times New Roman"/>
          <w:b/>
        </w:rPr>
        <w:t>Carers should be trained to assess symptoms, use the least invasive methods of administration and should have access to dedicated support.</w:t>
      </w:r>
    </w:p>
    <w:p w14:paraId="5FCA83F0" w14:textId="77777777" w:rsidR="00E613FA" w:rsidRDefault="00E613FA" w:rsidP="00CA2029">
      <w:pPr>
        <w:spacing w:after="0" w:line="360" w:lineRule="auto"/>
        <w:rPr>
          <w:rFonts w:ascii="Calibri" w:eastAsia="Calibri" w:hAnsi="Calibri" w:cs="Times New Roman"/>
        </w:rPr>
      </w:pPr>
    </w:p>
    <w:p w14:paraId="77346613" w14:textId="77777777" w:rsidR="00CA2029" w:rsidRDefault="00CA2029" w:rsidP="00CA2029">
      <w:pPr>
        <w:spacing w:after="0" w:line="360" w:lineRule="auto"/>
        <w:rPr>
          <w:rFonts w:ascii="Calibri" w:eastAsia="Calibri" w:hAnsi="Calibri" w:cs="Times New Roman"/>
        </w:rPr>
      </w:pPr>
    </w:p>
    <w:p w14:paraId="303CE994" w14:textId="77777777" w:rsidR="00CA2029" w:rsidRPr="002611AC" w:rsidRDefault="00CA2029" w:rsidP="00CA2029">
      <w:pPr>
        <w:pStyle w:val="Heading1"/>
        <w:spacing w:line="360" w:lineRule="auto"/>
        <w:rPr>
          <w:rFonts w:ascii="Cambria" w:hAnsi="Cambria"/>
          <w:sz w:val="28"/>
          <w:szCs w:val="28"/>
        </w:rPr>
      </w:pPr>
      <w:r w:rsidRPr="002611AC">
        <w:rPr>
          <w:rFonts w:ascii="Cambria" w:hAnsi="Cambria"/>
          <w:sz w:val="28"/>
          <w:szCs w:val="28"/>
        </w:rPr>
        <w:t>References</w:t>
      </w:r>
    </w:p>
    <w:p w14:paraId="2BD9A437" w14:textId="77777777" w:rsidR="00CA2029" w:rsidRPr="00CA2029" w:rsidRDefault="00CA2029" w:rsidP="00CA2029">
      <w:pPr>
        <w:spacing w:after="0" w:line="360" w:lineRule="auto"/>
        <w:ind w:left="426" w:hanging="426"/>
        <w:rPr>
          <w:rFonts w:ascii="Calibri" w:eastAsia="Calibri" w:hAnsi="Calibri" w:cs="Times New Roman"/>
        </w:rPr>
      </w:pPr>
      <w:r w:rsidRPr="00CA2029">
        <w:rPr>
          <w:rFonts w:ascii="Calibri" w:eastAsia="Calibri" w:hAnsi="Calibri" w:cs="Times New Roman"/>
        </w:rPr>
        <w:t>1.</w:t>
      </w:r>
      <w:r w:rsidRPr="00CA2029">
        <w:rPr>
          <w:rFonts w:ascii="Calibri" w:eastAsia="Calibri" w:hAnsi="Calibri" w:cs="Times New Roman"/>
        </w:rPr>
        <w:tab/>
        <w:t xml:space="preserve">Brisbane South Palliative Care Collaborative. Guidelines for Handling of Medication in Community Based Palliative Care Services in Queensland. </w:t>
      </w:r>
      <w:r w:rsidR="00F82A27" w:rsidRPr="00F82A27">
        <w:rPr>
          <w:rFonts w:ascii="Calibri" w:eastAsia="Calibri" w:hAnsi="Calibri" w:cs="Times New Roman"/>
        </w:rPr>
        <w:t>http://www.health.qld.gov.au/cpcre/pdf/medguidepall.pdf</w:t>
      </w:r>
      <w:r w:rsidRPr="00CA2029">
        <w:rPr>
          <w:rFonts w:ascii="Calibri" w:eastAsia="Calibri" w:hAnsi="Calibri" w:cs="Times New Roman"/>
        </w:rPr>
        <w:t>.</w:t>
      </w:r>
      <w:r w:rsidR="00F82A27">
        <w:rPr>
          <w:rFonts w:ascii="Calibri" w:eastAsia="Calibri" w:hAnsi="Calibri" w:cs="Times New Roman"/>
        </w:rPr>
        <w:t xml:space="preserve"> Accessed 16 November 2018.</w:t>
      </w:r>
    </w:p>
    <w:p w14:paraId="577D9677" w14:textId="77777777" w:rsidR="00CA2029" w:rsidRPr="00CA2029" w:rsidRDefault="00CA2029" w:rsidP="00CA2029">
      <w:pPr>
        <w:spacing w:after="0" w:line="360" w:lineRule="auto"/>
        <w:ind w:left="426" w:hanging="426"/>
        <w:rPr>
          <w:rFonts w:ascii="Calibri" w:eastAsia="Calibri" w:hAnsi="Calibri" w:cs="Times New Roman"/>
        </w:rPr>
      </w:pPr>
      <w:r w:rsidRPr="00CA2029">
        <w:rPr>
          <w:rFonts w:ascii="Calibri" w:eastAsia="Calibri" w:hAnsi="Calibri" w:cs="Times New Roman"/>
        </w:rPr>
        <w:t>2.</w:t>
      </w:r>
      <w:r w:rsidRPr="00CA2029">
        <w:rPr>
          <w:rFonts w:ascii="Calibri" w:eastAsia="Calibri" w:hAnsi="Calibri" w:cs="Times New Roman"/>
        </w:rPr>
        <w:tab/>
        <w:t xml:space="preserve">Legislation.gov.uk. Misuse of Drugs Act 1971 (Section 7). </w:t>
      </w:r>
      <w:r w:rsidR="00F82A27" w:rsidRPr="00F82A27">
        <w:rPr>
          <w:rFonts w:ascii="Calibri" w:eastAsia="Calibri" w:hAnsi="Calibri" w:cs="Times New Roman"/>
        </w:rPr>
        <w:t>http://www.legislation.gov.uk/ukpga/1971/38/section/7</w:t>
      </w:r>
      <w:r w:rsidRPr="00CA2029">
        <w:rPr>
          <w:rFonts w:ascii="Calibri" w:eastAsia="Calibri" w:hAnsi="Calibri" w:cs="Times New Roman"/>
        </w:rPr>
        <w:t>.</w:t>
      </w:r>
      <w:r w:rsidR="00F82A27">
        <w:rPr>
          <w:rFonts w:ascii="Calibri" w:eastAsia="Calibri" w:hAnsi="Calibri" w:cs="Times New Roman"/>
        </w:rPr>
        <w:t xml:space="preserve"> Accessed 16 November 2018.</w:t>
      </w:r>
    </w:p>
    <w:p w14:paraId="08022DD3" w14:textId="77777777" w:rsidR="00CA2029" w:rsidRPr="00CA2029" w:rsidRDefault="00CA2029" w:rsidP="00CA2029">
      <w:pPr>
        <w:spacing w:after="0" w:line="360" w:lineRule="auto"/>
        <w:ind w:left="426" w:hanging="426"/>
        <w:rPr>
          <w:rFonts w:ascii="Calibri" w:eastAsia="Calibri" w:hAnsi="Calibri" w:cs="Times New Roman"/>
        </w:rPr>
      </w:pPr>
      <w:r w:rsidRPr="00CA2029">
        <w:rPr>
          <w:rFonts w:ascii="Calibri" w:eastAsia="Calibri" w:hAnsi="Calibri" w:cs="Times New Roman"/>
        </w:rPr>
        <w:t>3.</w:t>
      </w:r>
      <w:r w:rsidRPr="00CA2029">
        <w:rPr>
          <w:rFonts w:ascii="Calibri" w:eastAsia="Calibri" w:hAnsi="Calibri" w:cs="Times New Roman"/>
        </w:rPr>
        <w:tab/>
        <w:t xml:space="preserve">Medical Defence Union. Reply to a request for </w:t>
      </w:r>
      <w:r w:rsidR="00F82A27" w:rsidRPr="00CA2029">
        <w:rPr>
          <w:rFonts w:ascii="Calibri" w:eastAsia="Calibri" w:hAnsi="Calibri" w:cs="Times New Roman"/>
        </w:rPr>
        <w:t>information</w:t>
      </w:r>
      <w:r w:rsidRPr="00CA2029">
        <w:rPr>
          <w:rFonts w:ascii="Calibri" w:eastAsia="Calibri" w:hAnsi="Calibri" w:cs="Times New Roman"/>
        </w:rPr>
        <w:t xml:space="preserve"> to Dr Lucy </w:t>
      </w:r>
      <w:proofErr w:type="spellStart"/>
      <w:r w:rsidRPr="00CA2029">
        <w:rPr>
          <w:rFonts w:ascii="Calibri" w:eastAsia="Calibri" w:hAnsi="Calibri" w:cs="Times New Roman"/>
        </w:rPr>
        <w:t>Boyland</w:t>
      </w:r>
      <w:proofErr w:type="spellEnd"/>
      <w:r w:rsidRPr="00CA2029">
        <w:rPr>
          <w:rFonts w:ascii="Calibri" w:eastAsia="Calibri" w:hAnsi="Calibri" w:cs="Times New Roman"/>
        </w:rPr>
        <w:t xml:space="preserve"> re: Is it legal for carers to adm</w:t>
      </w:r>
      <w:r w:rsidR="00F82A27">
        <w:rPr>
          <w:rFonts w:ascii="Calibri" w:eastAsia="Calibri" w:hAnsi="Calibri" w:cs="Times New Roman"/>
        </w:rPr>
        <w:t>inister controlled drugs? 2009.</w:t>
      </w:r>
    </w:p>
    <w:p w14:paraId="56A49BEB" w14:textId="77777777" w:rsidR="00CA2029" w:rsidRPr="00CA2029" w:rsidRDefault="00CA2029" w:rsidP="00CA2029">
      <w:pPr>
        <w:spacing w:after="0" w:line="360" w:lineRule="auto"/>
        <w:ind w:left="426" w:hanging="426"/>
        <w:rPr>
          <w:rFonts w:ascii="Calibri" w:eastAsia="Calibri" w:hAnsi="Calibri" w:cs="Times New Roman"/>
        </w:rPr>
      </w:pPr>
      <w:r w:rsidRPr="00CA2029">
        <w:rPr>
          <w:rFonts w:ascii="Calibri" w:eastAsia="Calibri" w:hAnsi="Calibri" w:cs="Times New Roman"/>
        </w:rPr>
        <w:t>4.</w:t>
      </w:r>
      <w:r w:rsidRPr="00CA2029">
        <w:rPr>
          <w:rFonts w:ascii="Calibri" w:eastAsia="Calibri" w:hAnsi="Calibri" w:cs="Times New Roman"/>
        </w:rPr>
        <w:tab/>
        <w:t>NHS National Prescribing Centre. A guide to good practice in the management of controlled d</w:t>
      </w:r>
      <w:r w:rsidR="00F82A27">
        <w:rPr>
          <w:rFonts w:ascii="Calibri" w:eastAsia="Calibri" w:hAnsi="Calibri" w:cs="Times New Roman"/>
        </w:rPr>
        <w:t>rugs in primary care (England)</w:t>
      </w:r>
      <w:r w:rsidRPr="00CA2029">
        <w:rPr>
          <w:rFonts w:ascii="Calibri" w:eastAsia="Calibri" w:hAnsi="Calibri" w:cs="Times New Roman"/>
        </w:rPr>
        <w:t>; 2009.</w:t>
      </w:r>
    </w:p>
    <w:p w14:paraId="03FE5CEB" w14:textId="77777777" w:rsidR="00CA2029" w:rsidRPr="00CA2029" w:rsidRDefault="00CA2029" w:rsidP="00CA2029">
      <w:pPr>
        <w:spacing w:after="0" w:line="360" w:lineRule="auto"/>
        <w:ind w:left="426" w:hanging="426"/>
        <w:rPr>
          <w:rFonts w:ascii="Calibri" w:eastAsia="Calibri" w:hAnsi="Calibri" w:cs="Times New Roman"/>
        </w:rPr>
      </w:pPr>
      <w:r w:rsidRPr="00CA2029">
        <w:rPr>
          <w:rFonts w:ascii="Calibri" w:eastAsia="Calibri" w:hAnsi="Calibri" w:cs="Times New Roman"/>
        </w:rPr>
        <w:t>5.</w:t>
      </w:r>
      <w:r w:rsidRPr="00CA2029">
        <w:rPr>
          <w:rFonts w:ascii="Calibri" w:eastAsia="Calibri" w:hAnsi="Calibri" w:cs="Times New Roman"/>
        </w:rPr>
        <w:tab/>
        <w:t xml:space="preserve">British National Formulary. Controlled Drugs and drug dependence. </w:t>
      </w:r>
      <w:proofErr w:type="gramStart"/>
      <w:r w:rsidR="00F82A27" w:rsidRPr="00F82A27">
        <w:rPr>
          <w:rFonts w:ascii="Calibri" w:eastAsia="Calibri" w:hAnsi="Calibri" w:cs="Times New Roman"/>
        </w:rPr>
        <w:t>http://www.evidence.nhs.uk/formulary/bnf/current/guidance-on-prescribing/controlled-drugs-and-drug-dependence</w:t>
      </w:r>
      <w:r w:rsidR="00F82A27">
        <w:rPr>
          <w:rFonts w:ascii="Calibri" w:eastAsia="Calibri" w:hAnsi="Calibri" w:cs="Times New Roman"/>
        </w:rPr>
        <w:t xml:space="preserve"> </w:t>
      </w:r>
      <w:r w:rsidRPr="00CA2029">
        <w:rPr>
          <w:rFonts w:ascii="Calibri" w:eastAsia="Calibri" w:hAnsi="Calibri" w:cs="Times New Roman"/>
        </w:rPr>
        <w:t xml:space="preserve"> .</w:t>
      </w:r>
      <w:proofErr w:type="gramEnd"/>
      <w:r w:rsidR="00F82A27">
        <w:rPr>
          <w:rFonts w:ascii="Calibri" w:eastAsia="Calibri" w:hAnsi="Calibri" w:cs="Times New Roman"/>
        </w:rPr>
        <w:t xml:space="preserve"> Accessed 23 November 2015.</w:t>
      </w:r>
    </w:p>
    <w:p w14:paraId="503F4EFB" w14:textId="77777777" w:rsidR="00CA2029" w:rsidRPr="00CA2029" w:rsidRDefault="00CA2029" w:rsidP="00CA2029">
      <w:pPr>
        <w:spacing w:after="0" w:line="360" w:lineRule="auto"/>
        <w:ind w:left="426" w:hanging="426"/>
        <w:rPr>
          <w:rFonts w:ascii="Calibri" w:eastAsia="Calibri" w:hAnsi="Calibri" w:cs="Times New Roman"/>
        </w:rPr>
      </w:pPr>
      <w:r w:rsidRPr="00CA2029">
        <w:rPr>
          <w:rFonts w:ascii="Calibri" w:eastAsia="Calibri" w:hAnsi="Calibri" w:cs="Times New Roman"/>
        </w:rPr>
        <w:t>6.</w:t>
      </w:r>
      <w:r w:rsidRPr="00CA2029">
        <w:rPr>
          <w:rFonts w:ascii="Calibri" w:eastAsia="Calibri" w:hAnsi="Calibri" w:cs="Times New Roman"/>
        </w:rPr>
        <w:tab/>
        <w:t xml:space="preserve">Nursing &amp; Midwifery Council. Standards for medicines management. </w:t>
      </w:r>
      <w:r w:rsidR="00F82A27" w:rsidRPr="00F82A27">
        <w:rPr>
          <w:rFonts w:ascii="Calibri" w:eastAsia="Calibri" w:hAnsi="Calibri" w:cs="Times New Roman"/>
        </w:rPr>
        <w:t>http://www.nmc.org.uk/globalassets/siteDocuments/NMC-Publications/NMC-Standards-for-medicines-management.pdf</w:t>
      </w:r>
      <w:r w:rsidRPr="00CA2029">
        <w:rPr>
          <w:rFonts w:ascii="Calibri" w:eastAsia="Calibri" w:hAnsi="Calibri" w:cs="Times New Roman"/>
        </w:rPr>
        <w:t>.</w:t>
      </w:r>
      <w:r w:rsidR="00F82A27">
        <w:rPr>
          <w:rFonts w:ascii="Calibri" w:eastAsia="Calibri" w:hAnsi="Calibri" w:cs="Times New Roman"/>
        </w:rPr>
        <w:t xml:space="preserve"> Accessed 16 November 2018.</w:t>
      </w:r>
    </w:p>
    <w:p w14:paraId="27C5C216" w14:textId="77777777" w:rsidR="00CA2029" w:rsidRPr="00CA2029" w:rsidRDefault="00CA2029" w:rsidP="00CA2029">
      <w:pPr>
        <w:spacing w:after="0" w:line="360" w:lineRule="auto"/>
        <w:ind w:left="426" w:hanging="426"/>
        <w:rPr>
          <w:rFonts w:ascii="Calibri" w:eastAsia="Calibri" w:hAnsi="Calibri" w:cs="Times New Roman"/>
        </w:rPr>
      </w:pPr>
      <w:r w:rsidRPr="00CA2029">
        <w:rPr>
          <w:rFonts w:ascii="Calibri" w:eastAsia="Calibri" w:hAnsi="Calibri" w:cs="Times New Roman"/>
        </w:rPr>
        <w:t>7.</w:t>
      </w:r>
      <w:r w:rsidRPr="00CA2029">
        <w:rPr>
          <w:rFonts w:ascii="Calibri" w:eastAsia="Calibri" w:hAnsi="Calibri" w:cs="Times New Roman"/>
        </w:rPr>
        <w:tab/>
        <w:t>Department of Health, Social Services and Public Safety. Safer Management of Controlled Drugs: A guide to good practice in p</w:t>
      </w:r>
      <w:r w:rsidR="00F82A27">
        <w:rPr>
          <w:rFonts w:ascii="Calibri" w:eastAsia="Calibri" w:hAnsi="Calibri" w:cs="Times New Roman"/>
        </w:rPr>
        <w:t>rimary care (Northern Ireland)</w:t>
      </w:r>
      <w:r w:rsidRPr="00CA2029">
        <w:rPr>
          <w:rFonts w:ascii="Calibri" w:eastAsia="Calibri" w:hAnsi="Calibri" w:cs="Times New Roman"/>
        </w:rPr>
        <w:t>; 2013.</w:t>
      </w:r>
    </w:p>
    <w:p w14:paraId="68B383BB" w14:textId="77777777" w:rsidR="00CA2029" w:rsidRPr="00CA2029" w:rsidRDefault="00CA2029" w:rsidP="00CA2029">
      <w:pPr>
        <w:spacing w:after="0" w:line="360" w:lineRule="auto"/>
        <w:ind w:left="426" w:hanging="426"/>
        <w:rPr>
          <w:rFonts w:ascii="Calibri" w:eastAsia="Calibri" w:hAnsi="Calibri" w:cs="Times New Roman"/>
        </w:rPr>
      </w:pPr>
      <w:r w:rsidRPr="00CA2029">
        <w:rPr>
          <w:rFonts w:ascii="Calibri" w:eastAsia="Calibri" w:hAnsi="Calibri" w:cs="Times New Roman"/>
        </w:rPr>
        <w:t>8.</w:t>
      </w:r>
      <w:r w:rsidRPr="00CA2029">
        <w:rPr>
          <w:rFonts w:ascii="Calibri" w:eastAsia="Calibri" w:hAnsi="Calibri" w:cs="Times New Roman"/>
        </w:rPr>
        <w:tab/>
        <w:t>Durham and Tess Valley Regional Medication Policy Group. Model of Good Practice for the Development of Policy for the Safe Handling, Management and Admin</w:t>
      </w:r>
      <w:r w:rsidR="00F82A27">
        <w:rPr>
          <w:rFonts w:ascii="Calibri" w:eastAsia="Calibri" w:hAnsi="Calibri" w:cs="Times New Roman"/>
        </w:rPr>
        <w:t>i</w:t>
      </w:r>
      <w:r w:rsidRPr="00CA2029">
        <w:rPr>
          <w:rFonts w:ascii="Calibri" w:eastAsia="Calibri" w:hAnsi="Calibri" w:cs="Times New Roman"/>
        </w:rPr>
        <w:t>stration of Medication by Carers within Domiciliary Care ac</w:t>
      </w:r>
      <w:r w:rsidR="00F82A27">
        <w:rPr>
          <w:rFonts w:ascii="Calibri" w:eastAsia="Calibri" w:hAnsi="Calibri" w:cs="Times New Roman"/>
        </w:rPr>
        <w:t>ross the North East of England</w:t>
      </w:r>
      <w:r w:rsidRPr="00CA2029">
        <w:rPr>
          <w:rFonts w:ascii="Calibri" w:eastAsia="Calibri" w:hAnsi="Calibri" w:cs="Times New Roman"/>
        </w:rPr>
        <w:t>; 2008.</w:t>
      </w:r>
    </w:p>
    <w:p w14:paraId="49D1908C" w14:textId="77777777" w:rsidR="00CA2029" w:rsidRPr="00CA2029" w:rsidRDefault="00CA2029" w:rsidP="00CA2029">
      <w:pPr>
        <w:spacing w:after="0" w:line="360" w:lineRule="auto"/>
        <w:ind w:left="426" w:hanging="426"/>
        <w:rPr>
          <w:rFonts w:ascii="Calibri" w:eastAsia="Calibri" w:hAnsi="Calibri" w:cs="Times New Roman"/>
        </w:rPr>
      </w:pPr>
      <w:r w:rsidRPr="00CA2029">
        <w:rPr>
          <w:rFonts w:ascii="Calibri" w:eastAsia="Calibri" w:hAnsi="Calibri" w:cs="Times New Roman"/>
        </w:rPr>
        <w:t>9.</w:t>
      </w:r>
      <w:r w:rsidRPr="00CA2029">
        <w:rPr>
          <w:rFonts w:ascii="Calibri" w:eastAsia="Calibri" w:hAnsi="Calibri" w:cs="Times New Roman"/>
        </w:rPr>
        <w:tab/>
        <w:t xml:space="preserve">British Medical Association. GP practices: Focus on anticipatory prescribing for end-of-life care. </w:t>
      </w:r>
      <w:r w:rsidR="00F82A27" w:rsidRPr="00F82A27">
        <w:rPr>
          <w:rFonts w:ascii="Calibri" w:eastAsia="Calibri" w:hAnsi="Calibri" w:cs="Times New Roman"/>
        </w:rPr>
        <w:t>http://bma.org.uk/support-at-work/gp-practices/service-provision/prescribing/focus-on-anticipatory-prescribing-for-end-of-life-care</w:t>
      </w:r>
      <w:r w:rsidRPr="00CA2029">
        <w:rPr>
          <w:rFonts w:ascii="Calibri" w:eastAsia="Calibri" w:hAnsi="Calibri" w:cs="Times New Roman"/>
        </w:rPr>
        <w:t>.</w:t>
      </w:r>
      <w:r w:rsidR="00F82A27">
        <w:rPr>
          <w:rFonts w:ascii="Calibri" w:eastAsia="Calibri" w:hAnsi="Calibri" w:cs="Times New Roman"/>
        </w:rPr>
        <w:t xml:space="preserve"> Accessed 16 November 2018.</w:t>
      </w:r>
    </w:p>
    <w:p w14:paraId="07A32F1E" w14:textId="77777777" w:rsidR="00CA2029" w:rsidRPr="00CA2029" w:rsidRDefault="00F82A27" w:rsidP="00CA2029">
      <w:pPr>
        <w:spacing w:after="0" w:line="360" w:lineRule="auto"/>
        <w:ind w:left="426" w:hanging="426"/>
        <w:rPr>
          <w:rFonts w:ascii="Calibri" w:eastAsia="Calibri" w:hAnsi="Calibri" w:cs="Times New Roman"/>
        </w:rPr>
      </w:pPr>
      <w:r>
        <w:rPr>
          <w:rFonts w:ascii="Calibri" w:eastAsia="Calibri" w:hAnsi="Calibri" w:cs="Times New Roman"/>
        </w:rPr>
        <w:lastRenderedPageBreak/>
        <w:t>10.</w:t>
      </w:r>
      <w:r>
        <w:rPr>
          <w:rFonts w:ascii="Calibri" w:eastAsia="Calibri" w:hAnsi="Calibri" w:cs="Times New Roman"/>
        </w:rPr>
        <w:tab/>
        <w:t>L</w:t>
      </w:r>
      <w:r w:rsidR="00CA2029" w:rsidRPr="00CA2029">
        <w:rPr>
          <w:rFonts w:ascii="Calibri" w:eastAsia="Calibri" w:hAnsi="Calibri" w:cs="Times New Roman"/>
        </w:rPr>
        <w:t xml:space="preserve">egislation.gov.uk. Mental Capacity Act 2005 (Section 1). </w:t>
      </w:r>
      <w:r w:rsidRPr="00F82A27">
        <w:rPr>
          <w:rFonts w:ascii="Calibri" w:eastAsia="Calibri" w:hAnsi="Calibri" w:cs="Times New Roman"/>
        </w:rPr>
        <w:t>http://www.legislation.gov.uk/ukpga/2005/9/section/1</w:t>
      </w:r>
      <w:r w:rsidR="00CA2029" w:rsidRPr="00CA2029">
        <w:rPr>
          <w:rFonts w:ascii="Calibri" w:eastAsia="Calibri" w:hAnsi="Calibri" w:cs="Times New Roman"/>
        </w:rPr>
        <w:t>.</w:t>
      </w:r>
      <w:r>
        <w:rPr>
          <w:rFonts w:ascii="Calibri" w:eastAsia="Calibri" w:hAnsi="Calibri" w:cs="Times New Roman"/>
        </w:rPr>
        <w:t xml:space="preserve"> Accessed 16 November 2018.</w:t>
      </w:r>
    </w:p>
    <w:p w14:paraId="1A5346BA" w14:textId="77777777" w:rsidR="00CA2029" w:rsidRPr="00CA2029" w:rsidRDefault="00CA2029" w:rsidP="00CA2029">
      <w:pPr>
        <w:spacing w:after="0" w:line="360" w:lineRule="auto"/>
        <w:ind w:left="426" w:hanging="426"/>
        <w:rPr>
          <w:rFonts w:ascii="Calibri" w:eastAsia="Calibri" w:hAnsi="Calibri" w:cs="Times New Roman"/>
        </w:rPr>
      </w:pPr>
      <w:r w:rsidRPr="00CA2029">
        <w:rPr>
          <w:rFonts w:ascii="Calibri" w:eastAsia="Calibri" w:hAnsi="Calibri" w:cs="Times New Roman"/>
        </w:rPr>
        <w:t>11.</w:t>
      </w:r>
      <w:r w:rsidRPr="00CA2029">
        <w:rPr>
          <w:rFonts w:ascii="Calibri" w:eastAsia="Calibri" w:hAnsi="Calibri" w:cs="Times New Roman"/>
        </w:rPr>
        <w:tab/>
        <w:t>Department for Constitutional Affairs. Mental Capacity Ac</w:t>
      </w:r>
      <w:r w:rsidR="00F82A27">
        <w:rPr>
          <w:rFonts w:ascii="Calibri" w:eastAsia="Calibri" w:hAnsi="Calibri" w:cs="Times New Roman"/>
        </w:rPr>
        <w:t>t 2005 Code of Practice. London</w:t>
      </w:r>
      <w:r w:rsidRPr="00CA2029">
        <w:rPr>
          <w:rFonts w:ascii="Calibri" w:eastAsia="Calibri" w:hAnsi="Calibri" w:cs="Times New Roman"/>
        </w:rPr>
        <w:t>; 2007.</w:t>
      </w:r>
    </w:p>
    <w:p w14:paraId="07CD0339" w14:textId="77777777" w:rsidR="00CA2029" w:rsidRPr="00E613FA" w:rsidRDefault="00CA2029" w:rsidP="00CA2029">
      <w:pPr>
        <w:spacing w:after="0" w:line="360" w:lineRule="auto"/>
        <w:ind w:left="426" w:hanging="426"/>
        <w:rPr>
          <w:rFonts w:ascii="Calibri" w:eastAsia="Calibri" w:hAnsi="Calibri" w:cs="Times New Roman"/>
        </w:rPr>
      </w:pPr>
      <w:r w:rsidRPr="00CA2029">
        <w:rPr>
          <w:rFonts w:ascii="Calibri" w:eastAsia="Calibri" w:hAnsi="Calibri" w:cs="Times New Roman"/>
        </w:rPr>
        <w:t>12.</w:t>
      </w:r>
      <w:r w:rsidRPr="00CA2029">
        <w:rPr>
          <w:rFonts w:ascii="Calibri" w:eastAsia="Calibri" w:hAnsi="Calibri" w:cs="Times New Roman"/>
        </w:rPr>
        <w:tab/>
        <w:t xml:space="preserve">Anderson B, </w:t>
      </w:r>
      <w:proofErr w:type="spellStart"/>
      <w:r w:rsidRPr="00CA2029">
        <w:rPr>
          <w:rFonts w:ascii="Calibri" w:eastAsia="Calibri" w:hAnsi="Calibri" w:cs="Times New Roman"/>
        </w:rPr>
        <w:t>Kralik</w:t>
      </w:r>
      <w:proofErr w:type="spellEnd"/>
      <w:r w:rsidRPr="00CA2029">
        <w:rPr>
          <w:rFonts w:ascii="Calibri" w:eastAsia="Calibri" w:hAnsi="Calibri" w:cs="Times New Roman"/>
        </w:rPr>
        <w:t xml:space="preserve"> D. Sterility, stability and potency of medications admin</w:t>
      </w:r>
      <w:r w:rsidR="00F82A27">
        <w:rPr>
          <w:rFonts w:ascii="Calibri" w:eastAsia="Calibri" w:hAnsi="Calibri" w:cs="Times New Roman"/>
        </w:rPr>
        <w:t>i</w:t>
      </w:r>
      <w:r w:rsidRPr="00CA2029">
        <w:rPr>
          <w:rFonts w:ascii="Calibri" w:eastAsia="Calibri" w:hAnsi="Calibri" w:cs="Times New Roman"/>
        </w:rPr>
        <w:t>stered by carers in home-based palliative care setting. Re</w:t>
      </w:r>
      <w:r w:rsidR="00F82A27">
        <w:rPr>
          <w:rFonts w:ascii="Calibri" w:eastAsia="Calibri" w:hAnsi="Calibri" w:cs="Times New Roman"/>
        </w:rPr>
        <w:t>search Informed Practice. 2008;</w:t>
      </w:r>
      <w:r w:rsidRPr="00CA2029">
        <w:rPr>
          <w:rFonts w:ascii="Calibri" w:eastAsia="Calibri" w:hAnsi="Calibri" w:cs="Times New Roman"/>
        </w:rPr>
        <w:t>51.</w:t>
      </w:r>
    </w:p>
    <w:sectPr w:rsidR="00CA2029" w:rsidRPr="00E613FA" w:rsidSect="00E613F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4E"/>
    <w:family w:val="auto"/>
    <w:pitch w:val="variable"/>
    <w:sig w:usb0="00000001" w:usb1="08070000" w:usb2="00000010" w:usb3="00000000" w:csb0="00020000" w:csb1="00000000"/>
  </w:font>
  <w:font w:name="Lucida Grande">
    <w:altName w:val="Segoe UI"/>
    <w:charset w:val="00"/>
    <w:family w:val="auto"/>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47411A"/>
    <w:multiLevelType w:val="hybridMultilevel"/>
    <w:tmpl w:val="AEF225AA"/>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8A57D9"/>
    <w:multiLevelType w:val="hybridMultilevel"/>
    <w:tmpl w:val="C04EEF9C"/>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FEC02D2"/>
    <w:multiLevelType w:val="hybridMultilevel"/>
    <w:tmpl w:val="0506FEB2"/>
    <w:lvl w:ilvl="0" w:tplc="79FEA814">
      <w:start w:val="1"/>
      <w:numFmt w:val="decimal"/>
      <w:pStyle w:val="Heading21"/>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2"/>
    <w:lvlOverride w:ilvl="0">
      <w:startOverride w:val="1"/>
    </w:lvlOverride>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613FA"/>
    <w:rsid w:val="0019332D"/>
    <w:rsid w:val="002611AC"/>
    <w:rsid w:val="002C17EA"/>
    <w:rsid w:val="00351EC2"/>
    <w:rsid w:val="0051391F"/>
    <w:rsid w:val="00754517"/>
    <w:rsid w:val="0076091C"/>
    <w:rsid w:val="0077337F"/>
    <w:rsid w:val="00837AC8"/>
    <w:rsid w:val="008F5F8A"/>
    <w:rsid w:val="009F4D63"/>
    <w:rsid w:val="00A2388B"/>
    <w:rsid w:val="00CA2029"/>
    <w:rsid w:val="00D0102F"/>
    <w:rsid w:val="00E54983"/>
    <w:rsid w:val="00E613FA"/>
    <w:rsid w:val="00EE621D"/>
    <w:rsid w:val="00F82A2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E37D14E"/>
  <w15:docId w15:val="{BCA8F329-C53B-4A5A-8231-F020F9CB9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aliases w:val="Heading A"/>
    <w:basedOn w:val="Normal"/>
    <w:next w:val="Normal"/>
    <w:link w:val="Heading1Char"/>
    <w:uiPriority w:val="9"/>
    <w:qFormat/>
    <w:rsid w:val="00E613FA"/>
    <w:pPr>
      <w:keepNext/>
      <w:keepLines/>
      <w:spacing w:before="240" w:after="0"/>
      <w:outlineLvl w:val="0"/>
    </w:pPr>
    <w:rPr>
      <w:rFonts w:asciiTheme="majorHAnsi" w:eastAsiaTheme="majorEastAsia" w:hAnsiTheme="majorHAnsi" w:cstheme="majorBidi"/>
      <w:b/>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21">
    <w:name w:val="Heading 21"/>
    <w:basedOn w:val="Normal"/>
    <w:next w:val="Normal"/>
    <w:autoRedefine/>
    <w:unhideWhenUsed/>
    <w:qFormat/>
    <w:locked/>
    <w:rsid w:val="00E613FA"/>
    <w:pPr>
      <w:keepNext/>
      <w:keepLines/>
      <w:numPr>
        <w:numId w:val="1"/>
      </w:numPr>
      <w:spacing w:after="40" w:line="271" w:lineRule="auto"/>
      <w:outlineLvl w:val="1"/>
    </w:pPr>
    <w:rPr>
      <w:rFonts w:eastAsia="Times New Roman" w:cs="Times New Roman"/>
      <w:b/>
      <w:sz w:val="24"/>
      <w:szCs w:val="26"/>
    </w:rPr>
  </w:style>
  <w:style w:type="character" w:customStyle="1" w:styleId="Heading1Char">
    <w:name w:val="Heading 1 Char"/>
    <w:aliases w:val="Heading A Char"/>
    <w:basedOn w:val="DefaultParagraphFont"/>
    <w:link w:val="Heading1"/>
    <w:uiPriority w:val="9"/>
    <w:rsid w:val="00E613FA"/>
    <w:rPr>
      <w:rFonts w:asciiTheme="majorHAnsi" w:eastAsiaTheme="majorEastAsia" w:hAnsiTheme="majorHAnsi" w:cstheme="majorBidi"/>
      <w:b/>
      <w:sz w:val="32"/>
      <w:szCs w:val="32"/>
      <w:lang w:val="en-US"/>
    </w:rPr>
  </w:style>
  <w:style w:type="paragraph" w:styleId="Bibliography">
    <w:name w:val="Bibliography"/>
    <w:basedOn w:val="Normal"/>
    <w:next w:val="Normal"/>
    <w:uiPriority w:val="37"/>
    <w:unhideWhenUsed/>
    <w:rsid w:val="00E613FA"/>
  </w:style>
  <w:style w:type="character" w:styleId="Hyperlink">
    <w:name w:val="Hyperlink"/>
    <w:basedOn w:val="DefaultParagraphFont"/>
    <w:uiPriority w:val="99"/>
    <w:unhideWhenUsed/>
    <w:rsid w:val="00E613FA"/>
    <w:rPr>
      <w:color w:val="0000FF"/>
      <w:u w:val="single"/>
    </w:rPr>
  </w:style>
  <w:style w:type="character" w:styleId="FollowedHyperlink">
    <w:name w:val="FollowedHyperlink"/>
    <w:basedOn w:val="DefaultParagraphFont"/>
    <w:uiPriority w:val="99"/>
    <w:semiHidden/>
    <w:unhideWhenUsed/>
    <w:rsid w:val="00F82A27"/>
    <w:rPr>
      <w:color w:val="954F72" w:themeColor="followedHyperlink"/>
      <w:u w:val="single"/>
    </w:rPr>
  </w:style>
  <w:style w:type="character" w:styleId="CommentReference">
    <w:name w:val="annotation reference"/>
    <w:basedOn w:val="DefaultParagraphFont"/>
    <w:uiPriority w:val="99"/>
    <w:semiHidden/>
    <w:unhideWhenUsed/>
    <w:rsid w:val="0077337F"/>
    <w:rPr>
      <w:sz w:val="18"/>
      <w:szCs w:val="18"/>
    </w:rPr>
  </w:style>
  <w:style w:type="paragraph" w:styleId="CommentText">
    <w:name w:val="annotation text"/>
    <w:basedOn w:val="Normal"/>
    <w:link w:val="CommentTextChar"/>
    <w:uiPriority w:val="99"/>
    <w:semiHidden/>
    <w:unhideWhenUsed/>
    <w:rsid w:val="0077337F"/>
    <w:pPr>
      <w:spacing w:line="240" w:lineRule="auto"/>
    </w:pPr>
    <w:rPr>
      <w:sz w:val="24"/>
      <w:szCs w:val="24"/>
    </w:rPr>
  </w:style>
  <w:style w:type="character" w:customStyle="1" w:styleId="CommentTextChar">
    <w:name w:val="Comment Text Char"/>
    <w:basedOn w:val="DefaultParagraphFont"/>
    <w:link w:val="CommentText"/>
    <w:uiPriority w:val="99"/>
    <w:semiHidden/>
    <w:rsid w:val="0077337F"/>
    <w:rPr>
      <w:sz w:val="24"/>
      <w:szCs w:val="24"/>
    </w:rPr>
  </w:style>
  <w:style w:type="paragraph" w:styleId="CommentSubject">
    <w:name w:val="annotation subject"/>
    <w:basedOn w:val="CommentText"/>
    <w:next w:val="CommentText"/>
    <w:link w:val="CommentSubjectChar"/>
    <w:uiPriority w:val="99"/>
    <w:semiHidden/>
    <w:unhideWhenUsed/>
    <w:rsid w:val="0077337F"/>
    <w:rPr>
      <w:b/>
      <w:bCs/>
      <w:sz w:val="20"/>
      <w:szCs w:val="20"/>
    </w:rPr>
  </w:style>
  <w:style w:type="character" w:customStyle="1" w:styleId="CommentSubjectChar">
    <w:name w:val="Comment Subject Char"/>
    <w:basedOn w:val="CommentTextChar"/>
    <w:link w:val="CommentSubject"/>
    <w:uiPriority w:val="99"/>
    <w:semiHidden/>
    <w:rsid w:val="0077337F"/>
    <w:rPr>
      <w:b/>
      <w:bCs/>
      <w:sz w:val="20"/>
      <w:szCs w:val="20"/>
    </w:rPr>
  </w:style>
  <w:style w:type="paragraph" w:styleId="BalloonText">
    <w:name w:val="Balloon Text"/>
    <w:basedOn w:val="Normal"/>
    <w:link w:val="BalloonTextChar"/>
    <w:uiPriority w:val="99"/>
    <w:semiHidden/>
    <w:unhideWhenUsed/>
    <w:rsid w:val="0077337F"/>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7337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4800">
      <w:bodyDiv w:val="1"/>
      <w:marLeft w:val="0"/>
      <w:marRight w:val="0"/>
      <w:marTop w:val="0"/>
      <w:marBottom w:val="0"/>
      <w:divBdr>
        <w:top w:val="none" w:sz="0" w:space="0" w:color="auto"/>
        <w:left w:val="none" w:sz="0" w:space="0" w:color="auto"/>
        <w:bottom w:val="none" w:sz="0" w:space="0" w:color="auto"/>
        <w:right w:val="none" w:sz="0" w:space="0" w:color="auto"/>
      </w:divBdr>
    </w:div>
    <w:div w:id="95248167">
      <w:bodyDiv w:val="1"/>
      <w:marLeft w:val="0"/>
      <w:marRight w:val="0"/>
      <w:marTop w:val="0"/>
      <w:marBottom w:val="0"/>
      <w:divBdr>
        <w:top w:val="none" w:sz="0" w:space="0" w:color="auto"/>
        <w:left w:val="none" w:sz="0" w:space="0" w:color="auto"/>
        <w:bottom w:val="none" w:sz="0" w:space="0" w:color="auto"/>
        <w:right w:val="none" w:sz="0" w:space="0" w:color="auto"/>
      </w:divBdr>
    </w:div>
    <w:div w:id="151289564">
      <w:bodyDiv w:val="1"/>
      <w:marLeft w:val="0"/>
      <w:marRight w:val="0"/>
      <w:marTop w:val="0"/>
      <w:marBottom w:val="0"/>
      <w:divBdr>
        <w:top w:val="none" w:sz="0" w:space="0" w:color="auto"/>
        <w:left w:val="none" w:sz="0" w:space="0" w:color="auto"/>
        <w:bottom w:val="none" w:sz="0" w:space="0" w:color="auto"/>
        <w:right w:val="none" w:sz="0" w:space="0" w:color="auto"/>
      </w:divBdr>
    </w:div>
    <w:div w:id="209540316">
      <w:bodyDiv w:val="1"/>
      <w:marLeft w:val="0"/>
      <w:marRight w:val="0"/>
      <w:marTop w:val="0"/>
      <w:marBottom w:val="0"/>
      <w:divBdr>
        <w:top w:val="none" w:sz="0" w:space="0" w:color="auto"/>
        <w:left w:val="none" w:sz="0" w:space="0" w:color="auto"/>
        <w:bottom w:val="none" w:sz="0" w:space="0" w:color="auto"/>
        <w:right w:val="none" w:sz="0" w:space="0" w:color="auto"/>
      </w:divBdr>
    </w:div>
    <w:div w:id="297298441">
      <w:bodyDiv w:val="1"/>
      <w:marLeft w:val="0"/>
      <w:marRight w:val="0"/>
      <w:marTop w:val="0"/>
      <w:marBottom w:val="0"/>
      <w:divBdr>
        <w:top w:val="none" w:sz="0" w:space="0" w:color="auto"/>
        <w:left w:val="none" w:sz="0" w:space="0" w:color="auto"/>
        <w:bottom w:val="none" w:sz="0" w:space="0" w:color="auto"/>
        <w:right w:val="none" w:sz="0" w:space="0" w:color="auto"/>
      </w:divBdr>
    </w:div>
    <w:div w:id="306981901">
      <w:bodyDiv w:val="1"/>
      <w:marLeft w:val="0"/>
      <w:marRight w:val="0"/>
      <w:marTop w:val="0"/>
      <w:marBottom w:val="0"/>
      <w:divBdr>
        <w:top w:val="none" w:sz="0" w:space="0" w:color="auto"/>
        <w:left w:val="none" w:sz="0" w:space="0" w:color="auto"/>
        <w:bottom w:val="none" w:sz="0" w:space="0" w:color="auto"/>
        <w:right w:val="none" w:sz="0" w:space="0" w:color="auto"/>
      </w:divBdr>
    </w:div>
    <w:div w:id="321548166">
      <w:bodyDiv w:val="1"/>
      <w:marLeft w:val="0"/>
      <w:marRight w:val="0"/>
      <w:marTop w:val="0"/>
      <w:marBottom w:val="0"/>
      <w:divBdr>
        <w:top w:val="none" w:sz="0" w:space="0" w:color="auto"/>
        <w:left w:val="none" w:sz="0" w:space="0" w:color="auto"/>
        <w:bottom w:val="none" w:sz="0" w:space="0" w:color="auto"/>
        <w:right w:val="none" w:sz="0" w:space="0" w:color="auto"/>
      </w:divBdr>
    </w:div>
    <w:div w:id="354774558">
      <w:bodyDiv w:val="1"/>
      <w:marLeft w:val="0"/>
      <w:marRight w:val="0"/>
      <w:marTop w:val="0"/>
      <w:marBottom w:val="0"/>
      <w:divBdr>
        <w:top w:val="none" w:sz="0" w:space="0" w:color="auto"/>
        <w:left w:val="none" w:sz="0" w:space="0" w:color="auto"/>
        <w:bottom w:val="none" w:sz="0" w:space="0" w:color="auto"/>
        <w:right w:val="none" w:sz="0" w:space="0" w:color="auto"/>
      </w:divBdr>
    </w:div>
    <w:div w:id="367491924">
      <w:bodyDiv w:val="1"/>
      <w:marLeft w:val="0"/>
      <w:marRight w:val="0"/>
      <w:marTop w:val="0"/>
      <w:marBottom w:val="0"/>
      <w:divBdr>
        <w:top w:val="none" w:sz="0" w:space="0" w:color="auto"/>
        <w:left w:val="none" w:sz="0" w:space="0" w:color="auto"/>
        <w:bottom w:val="none" w:sz="0" w:space="0" w:color="auto"/>
        <w:right w:val="none" w:sz="0" w:space="0" w:color="auto"/>
      </w:divBdr>
    </w:div>
    <w:div w:id="387413156">
      <w:bodyDiv w:val="1"/>
      <w:marLeft w:val="0"/>
      <w:marRight w:val="0"/>
      <w:marTop w:val="0"/>
      <w:marBottom w:val="0"/>
      <w:divBdr>
        <w:top w:val="none" w:sz="0" w:space="0" w:color="auto"/>
        <w:left w:val="none" w:sz="0" w:space="0" w:color="auto"/>
        <w:bottom w:val="none" w:sz="0" w:space="0" w:color="auto"/>
        <w:right w:val="none" w:sz="0" w:space="0" w:color="auto"/>
      </w:divBdr>
    </w:div>
    <w:div w:id="423304842">
      <w:bodyDiv w:val="1"/>
      <w:marLeft w:val="0"/>
      <w:marRight w:val="0"/>
      <w:marTop w:val="0"/>
      <w:marBottom w:val="0"/>
      <w:divBdr>
        <w:top w:val="none" w:sz="0" w:space="0" w:color="auto"/>
        <w:left w:val="none" w:sz="0" w:space="0" w:color="auto"/>
        <w:bottom w:val="none" w:sz="0" w:space="0" w:color="auto"/>
        <w:right w:val="none" w:sz="0" w:space="0" w:color="auto"/>
      </w:divBdr>
    </w:div>
    <w:div w:id="456265671">
      <w:bodyDiv w:val="1"/>
      <w:marLeft w:val="0"/>
      <w:marRight w:val="0"/>
      <w:marTop w:val="0"/>
      <w:marBottom w:val="0"/>
      <w:divBdr>
        <w:top w:val="none" w:sz="0" w:space="0" w:color="auto"/>
        <w:left w:val="none" w:sz="0" w:space="0" w:color="auto"/>
        <w:bottom w:val="none" w:sz="0" w:space="0" w:color="auto"/>
        <w:right w:val="none" w:sz="0" w:space="0" w:color="auto"/>
      </w:divBdr>
    </w:div>
    <w:div w:id="469203135">
      <w:bodyDiv w:val="1"/>
      <w:marLeft w:val="0"/>
      <w:marRight w:val="0"/>
      <w:marTop w:val="0"/>
      <w:marBottom w:val="0"/>
      <w:divBdr>
        <w:top w:val="none" w:sz="0" w:space="0" w:color="auto"/>
        <w:left w:val="none" w:sz="0" w:space="0" w:color="auto"/>
        <w:bottom w:val="none" w:sz="0" w:space="0" w:color="auto"/>
        <w:right w:val="none" w:sz="0" w:space="0" w:color="auto"/>
      </w:divBdr>
    </w:div>
    <w:div w:id="500435680">
      <w:bodyDiv w:val="1"/>
      <w:marLeft w:val="0"/>
      <w:marRight w:val="0"/>
      <w:marTop w:val="0"/>
      <w:marBottom w:val="0"/>
      <w:divBdr>
        <w:top w:val="none" w:sz="0" w:space="0" w:color="auto"/>
        <w:left w:val="none" w:sz="0" w:space="0" w:color="auto"/>
        <w:bottom w:val="none" w:sz="0" w:space="0" w:color="auto"/>
        <w:right w:val="none" w:sz="0" w:space="0" w:color="auto"/>
      </w:divBdr>
    </w:div>
    <w:div w:id="503908565">
      <w:bodyDiv w:val="1"/>
      <w:marLeft w:val="0"/>
      <w:marRight w:val="0"/>
      <w:marTop w:val="0"/>
      <w:marBottom w:val="0"/>
      <w:divBdr>
        <w:top w:val="none" w:sz="0" w:space="0" w:color="auto"/>
        <w:left w:val="none" w:sz="0" w:space="0" w:color="auto"/>
        <w:bottom w:val="none" w:sz="0" w:space="0" w:color="auto"/>
        <w:right w:val="none" w:sz="0" w:space="0" w:color="auto"/>
      </w:divBdr>
    </w:div>
    <w:div w:id="556359000">
      <w:bodyDiv w:val="1"/>
      <w:marLeft w:val="0"/>
      <w:marRight w:val="0"/>
      <w:marTop w:val="0"/>
      <w:marBottom w:val="0"/>
      <w:divBdr>
        <w:top w:val="none" w:sz="0" w:space="0" w:color="auto"/>
        <w:left w:val="none" w:sz="0" w:space="0" w:color="auto"/>
        <w:bottom w:val="none" w:sz="0" w:space="0" w:color="auto"/>
        <w:right w:val="none" w:sz="0" w:space="0" w:color="auto"/>
      </w:divBdr>
    </w:div>
    <w:div w:id="578710720">
      <w:bodyDiv w:val="1"/>
      <w:marLeft w:val="0"/>
      <w:marRight w:val="0"/>
      <w:marTop w:val="0"/>
      <w:marBottom w:val="0"/>
      <w:divBdr>
        <w:top w:val="none" w:sz="0" w:space="0" w:color="auto"/>
        <w:left w:val="none" w:sz="0" w:space="0" w:color="auto"/>
        <w:bottom w:val="none" w:sz="0" w:space="0" w:color="auto"/>
        <w:right w:val="none" w:sz="0" w:space="0" w:color="auto"/>
      </w:divBdr>
    </w:div>
    <w:div w:id="584924721">
      <w:bodyDiv w:val="1"/>
      <w:marLeft w:val="0"/>
      <w:marRight w:val="0"/>
      <w:marTop w:val="0"/>
      <w:marBottom w:val="0"/>
      <w:divBdr>
        <w:top w:val="none" w:sz="0" w:space="0" w:color="auto"/>
        <w:left w:val="none" w:sz="0" w:space="0" w:color="auto"/>
        <w:bottom w:val="none" w:sz="0" w:space="0" w:color="auto"/>
        <w:right w:val="none" w:sz="0" w:space="0" w:color="auto"/>
      </w:divBdr>
    </w:div>
    <w:div w:id="649333714">
      <w:bodyDiv w:val="1"/>
      <w:marLeft w:val="0"/>
      <w:marRight w:val="0"/>
      <w:marTop w:val="0"/>
      <w:marBottom w:val="0"/>
      <w:divBdr>
        <w:top w:val="none" w:sz="0" w:space="0" w:color="auto"/>
        <w:left w:val="none" w:sz="0" w:space="0" w:color="auto"/>
        <w:bottom w:val="none" w:sz="0" w:space="0" w:color="auto"/>
        <w:right w:val="none" w:sz="0" w:space="0" w:color="auto"/>
      </w:divBdr>
    </w:div>
    <w:div w:id="735979215">
      <w:bodyDiv w:val="1"/>
      <w:marLeft w:val="0"/>
      <w:marRight w:val="0"/>
      <w:marTop w:val="0"/>
      <w:marBottom w:val="0"/>
      <w:divBdr>
        <w:top w:val="none" w:sz="0" w:space="0" w:color="auto"/>
        <w:left w:val="none" w:sz="0" w:space="0" w:color="auto"/>
        <w:bottom w:val="none" w:sz="0" w:space="0" w:color="auto"/>
        <w:right w:val="none" w:sz="0" w:space="0" w:color="auto"/>
      </w:divBdr>
    </w:div>
    <w:div w:id="743524950">
      <w:bodyDiv w:val="1"/>
      <w:marLeft w:val="0"/>
      <w:marRight w:val="0"/>
      <w:marTop w:val="0"/>
      <w:marBottom w:val="0"/>
      <w:divBdr>
        <w:top w:val="none" w:sz="0" w:space="0" w:color="auto"/>
        <w:left w:val="none" w:sz="0" w:space="0" w:color="auto"/>
        <w:bottom w:val="none" w:sz="0" w:space="0" w:color="auto"/>
        <w:right w:val="none" w:sz="0" w:space="0" w:color="auto"/>
      </w:divBdr>
    </w:div>
    <w:div w:id="782114693">
      <w:bodyDiv w:val="1"/>
      <w:marLeft w:val="0"/>
      <w:marRight w:val="0"/>
      <w:marTop w:val="0"/>
      <w:marBottom w:val="0"/>
      <w:divBdr>
        <w:top w:val="none" w:sz="0" w:space="0" w:color="auto"/>
        <w:left w:val="none" w:sz="0" w:space="0" w:color="auto"/>
        <w:bottom w:val="none" w:sz="0" w:space="0" w:color="auto"/>
        <w:right w:val="none" w:sz="0" w:space="0" w:color="auto"/>
      </w:divBdr>
    </w:div>
    <w:div w:id="810946556">
      <w:bodyDiv w:val="1"/>
      <w:marLeft w:val="0"/>
      <w:marRight w:val="0"/>
      <w:marTop w:val="0"/>
      <w:marBottom w:val="0"/>
      <w:divBdr>
        <w:top w:val="none" w:sz="0" w:space="0" w:color="auto"/>
        <w:left w:val="none" w:sz="0" w:space="0" w:color="auto"/>
        <w:bottom w:val="none" w:sz="0" w:space="0" w:color="auto"/>
        <w:right w:val="none" w:sz="0" w:space="0" w:color="auto"/>
      </w:divBdr>
    </w:div>
    <w:div w:id="851142197">
      <w:bodyDiv w:val="1"/>
      <w:marLeft w:val="0"/>
      <w:marRight w:val="0"/>
      <w:marTop w:val="0"/>
      <w:marBottom w:val="0"/>
      <w:divBdr>
        <w:top w:val="none" w:sz="0" w:space="0" w:color="auto"/>
        <w:left w:val="none" w:sz="0" w:space="0" w:color="auto"/>
        <w:bottom w:val="none" w:sz="0" w:space="0" w:color="auto"/>
        <w:right w:val="none" w:sz="0" w:space="0" w:color="auto"/>
      </w:divBdr>
    </w:div>
    <w:div w:id="851995099">
      <w:bodyDiv w:val="1"/>
      <w:marLeft w:val="0"/>
      <w:marRight w:val="0"/>
      <w:marTop w:val="0"/>
      <w:marBottom w:val="0"/>
      <w:divBdr>
        <w:top w:val="none" w:sz="0" w:space="0" w:color="auto"/>
        <w:left w:val="none" w:sz="0" w:space="0" w:color="auto"/>
        <w:bottom w:val="none" w:sz="0" w:space="0" w:color="auto"/>
        <w:right w:val="none" w:sz="0" w:space="0" w:color="auto"/>
      </w:divBdr>
    </w:div>
    <w:div w:id="867567083">
      <w:bodyDiv w:val="1"/>
      <w:marLeft w:val="0"/>
      <w:marRight w:val="0"/>
      <w:marTop w:val="0"/>
      <w:marBottom w:val="0"/>
      <w:divBdr>
        <w:top w:val="none" w:sz="0" w:space="0" w:color="auto"/>
        <w:left w:val="none" w:sz="0" w:space="0" w:color="auto"/>
        <w:bottom w:val="none" w:sz="0" w:space="0" w:color="auto"/>
        <w:right w:val="none" w:sz="0" w:space="0" w:color="auto"/>
      </w:divBdr>
    </w:div>
    <w:div w:id="871311050">
      <w:bodyDiv w:val="1"/>
      <w:marLeft w:val="0"/>
      <w:marRight w:val="0"/>
      <w:marTop w:val="0"/>
      <w:marBottom w:val="0"/>
      <w:divBdr>
        <w:top w:val="none" w:sz="0" w:space="0" w:color="auto"/>
        <w:left w:val="none" w:sz="0" w:space="0" w:color="auto"/>
        <w:bottom w:val="none" w:sz="0" w:space="0" w:color="auto"/>
        <w:right w:val="none" w:sz="0" w:space="0" w:color="auto"/>
      </w:divBdr>
    </w:div>
    <w:div w:id="885407184">
      <w:bodyDiv w:val="1"/>
      <w:marLeft w:val="0"/>
      <w:marRight w:val="0"/>
      <w:marTop w:val="0"/>
      <w:marBottom w:val="0"/>
      <w:divBdr>
        <w:top w:val="none" w:sz="0" w:space="0" w:color="auto"/>
        <w:left w:val="none" w:sz="0" w:space="0" w:color="auto"/>
        <w:bottom w:val="none" w:sz="0" w:space="0" w:color="auto"/>
        <w:right w:val="none" w:sz="0" w:space="0" w:color="auto"/>
      </w:divBdr>
    </w:div>
    <w:div w:id="905528017">
      <w:bodyDiv w:val="1"/>
      <w:marLeft w:val="0"/>
      <w:marRight w:val="0"/>
      <w:marTop w:val="0"/>
      <w:marBottom w:val="0"/>
      <w:divBdr>
        <w:top w:val="none" w:sz="0" w:space="0" w:color="auto"/>
        <w:left w:val="none" w:sz="0" w:space="0" w:color="auto"/>
        <w:bottom w:val="none" w:sz="0" w:space="0" w:color="auto"/>
        <w:right w:val="none" w:sz="0" w:space="0" w:color="auto"/>
      </w:divBdr>
    </w:div>
    <w:div w:id="906652446">
      <w:bodyDiv w:val="1"/>
      <w:marLeft w:val="0"/>
      <w:marRight w:val="0"/>
      <w:marTop w:val="0"/>
      <w:marBottom w:val="0"/>
      <w:divBdr>
        <w:top w:val="none" w:sz="0" w:space="0" w:color="auto"/>
        <w:left w:val="none" w:sz="0" w:space="0" w:color="auto"/>
        <w:bottom w:val="none" w:sz="0" w:space="0" w:color="auto"/>
        <w:right w:val="none" w:sz="0" w:space="0" w:color="auto"/>
      </w:divBdr>
    </w:div>
    <w:div w:id="907765893">
      <w:bodyDiv w:val="1"/>
      <w:marLeft w:val="0"/>
      <w:marRight w:val="0"/>
      <w:marTop w:val="0"/>
      <w:marBottom w:val="0"/>
      <w:divBdr>
        <w:top w:val="none" w:sz="0" w:space="0" w:color="auto"/>
        <w:left w:val="none" w:sz="0" w:space="0" w:color="auto"/>
        <w:bottom w:val="none" w:sz="0" w:space="0" w:color="auto"/>
        <w:right w:val="none" w:sz="0" w:space="0" w:color="auto"/>
      </w:divBdr>
    </w:div>
    <w:div w:id="963460489">
      <w:bodyDiv w:val="1"/>
      <w:marLeft w:val="0"/>
      <w:marRight w:val="0"/>
      <w:marTop w:val="0"/>
      <w:marBottom w:val="0"/>
      <w:divBdr>
        <w:top w:val="none" w:sz="0" w:space="0" w:color="auto"/>
        <w:left w:val="none" w:sz="0" w:space="0" w:color="auto"/>
        <w:bottom w:val="none" w:sz="0" w:space="0" w:color="auto"/>
        <w:right w:val="none" w:sz="0" w:space="0" w:color="auto"/>
      </w:divBdr>
    </w:div>
    <w:div w:id="968243374">
      <w:bodyDiv w:val="1"/>
      <w:marLeft w:val="0"/>
      <w:marRight w:val="0"/>
      <w:marTop w:val="0"/>
      <w:marBottom w:val="0"/>
      <w:divBdr>
        <w:top w:val="none" w:sz="0" w:space="0" w:color="auto"/>
        <w:left w:val="none" w:sz="0" w:space="0" w:color="auto"/>
        <w:bottom w:val="none" w:sz="0" w:space="0" w:color="auto"/>
        <w:right w:val="none" w:sz="0" w:space="0" w:color="auto"/>
      </w:divBdr>
    </w:div>
    <w:div w:id="1019432775">
      <w:bodyDiv w:val="1"/>
      <w:marLeft w:val="0"/>
      <w:marRight w:val="0"/>
      <w:marTop w:val="0"/>
      <w:marBottom w:val="0"/>
      <w:divBdr>
        <w:top w:val="none" w:sz="0" w:space="0" w:color="auto"/>
        <w:left w:val="none" w:sz="0" w:space="0" w:color="auto"/>
        <w:bottom w:val="none" w:sz="0" w:space="0" w:color="auto"/>
        <w:right w:val="none" w:sz="0" w:space="0" w:color="auto"/>
      </w:divBdr>
    </w:div>
    <w:div w:id="1030377010">
      <w:bodyDiv w:val="1"/>
      <w:marLeft w:val="0"/>
      <w:marRight w:val="0"/>
      <w:marTop w:val="0"/>
      <w:marBottom w:val="0"/>
      <w:divBdr>
        <w:top w:val="none" w:sz="0" w:space="0" w:color="auto"/>
        <w:left w:val="none" w:sz="0" w:space="0" w:color="auto"/>
        <w:bottom w:val="none" w:sz="0" w:space="0" w:color="auto"/>
        <w:right w:val="none" w:sz="0" w:space="0" w:color="auto"/>
      </w:divBdr>
    </w:div>
    <w:div w:id="1042943747">
      <w:bodyDiv w:val="1"/>
      <w:marLeft w:val="0"/>
      <w:marRight w:val="0"/>
      <w:marTop w:val="0"/>
      <w:marBottom w:val="0"/>
      <w:divBdr>
        <w:top w:val="none" w:sz="0" w:space="0" w:color="auto"/>
        <w:left w:val="none" w:sz="0" w:space="0" w:color="auto"/>
        <w:bottom w:val="none" w:sz="0" w:space="0" w:color="auto"/>
        <w:right w:val="none" w:sz="0" w:space="0" w:color="auto"/>
      </w:divBdr>
    </w:div>
    <w:div w:id="1071004757">
      <w:bodyDiv w:val="1"/>
      <w:marLeft w:val="0"/>
      <w:marRight w:val="0"/>
      <w:marTop w:val="0"/>
      <w:marBottom w:val="0"/>
      <w:divBdr>
        <w:top w:val="none" w:sz="0" w:space="0" w:color="auto"/>
        <w:left w:val="none" w:sz="0" w:space="0" w:color="auto"/>
        <w:bottom w:val="none" w:sz="0" w:space="0" w:color="auto"/>
        <w:right w:val="none" w:sz="0" w:space="0" w:color="auto"/>
      </w:divBdr>
    </w:div>
    <w:div w:id="1093167793">
      <w:bodyDiv w:val="1"/>
      <w:marLeft w:val="0"/>
      <w:marRight w:val="0"/>
      <w:marTop w:val="0"/>
      <w:marBottom w:val="0"/>
      <w:divBdr>
        <w:top w:val="none" w:sz="0" w:space="0" w:color="auto"/>
        <w:left w:val="none" w:sz="0" w:space="0" w:color="auto"/>
        <w:bottom w:val="none" w:sz="0" w:space="0" w:color="auto"/>
        <w:right w:val="none" w:sz="0" w:space="0" w:color="auto"/>
      </w:divBdr>
    </w:div>
    <w:div w:id="1103064911">
      <w:bodyDiv w:val="1"/>
      <w:marLeft w:val="0"/>
      <w:marRight w:val="0"/>
      <w:marTop w:val="0"/>
      <w:marBottom w:val="0"/>
      <w:divBdr>
        <w:top w:val="none" w:sz="0" w:space="0" w:color="auto"/>
        <w:left w:val="none" w:sz="0" w:space="0" w:color="auto"/>
        <w:bottom w:val="none" w:sz="0" w:space="0" w:color="auto"/>
        <w:right w:val="none" w:sz="0" w:space="0" w:color="auto"/>
      </w:divBdr>
    </w:div>
    <w:div w:id="1137262561">
      <w:bodyDiv w:val="1"/>
      <w:marLeft w:val="0"/>
      <w:marRight w:val="0"/>
      <w:marTop w:val="0"/>
      <w:marBottom w:val="0"/>
      <w:divBdr>
        <w:top w:val="none" w:sz="0" w:space="0" w:color="auto"/>
        <w:left w:val="none" w:sz="0" w:space="0" w:color="auto"/>
        <w:bottom w:val="none" w:sz="0" w:space="0" w:color="auto"/>
        <w:right w:val="none" w:sz="0" w:space="0" w:color="auto"/>
      </w:divBdr>
    </w:div>
    <w:div w:id="1174495526">
      <w:bodyDiv w:val="1"/>
      <w:marLeft w:val="0"/>
      <w:marRight w:val="0"/>
      <w:marTop w:val="0"/>
      <w:marBottom w:val="0"/>
      <w:divBdr>
        <w:top w:val="none" w:sz="0" w:space="0" w:color="auto"/>
        <w:left w:val="none" w:sz="0" w:space="0" w:color="auto"/>
        <w:bottom w:val="none" w:sz="0" w:space="0" w:color="auto"/>
        <w:right w:val="none" w:sz="0" w:space="0" w:color="auto"/>
      </w:divBdr>
    </w:div>
    <w:div w:id="1267156562">
      <w:bodyDiv w:val="1"/>
      <w:marLeft w:val="0"/>
      <w:marRight w:val="0"/>
      <w:marTop w:val="0"/>
      <w:marBottom w:val="0"/>
      <w:divBdr>
        <w:top w:val="none" w:sz="0" w:space="0" w:color="auto"/>
        <w:left w:val="none" w:sz="0" w:space="0" w:color="auto"/>
        <w:bottom w:val="none" w:sz="0" w:space="0" w:color="auto"/>
        <w:right w:val="none" w:sz="0" w:space="0" w:color="auto"/>
      </w:divBdr>
    </w:div>
    <w:div w:id="1276672734">
      <w:bodyDiv w:val="1"/>
      <w:marLeft w:val="0"/>
      <w:marRight w:val="0"/>
      <w:marTop w:val="0"/>
      <w:marBottom w:val="0"/>
      <w:divBdr>
        <w:top w:val="none" w:sz="0" w:space="0" w:color="auto"/>
        <w:left w:val="none" w:sz="0" w:space="0" w:color="auto"/>
        <w:bottom w:val="none" w:sz="0" w:space="0" w:color="auto"/>
        <w:right w:val="none" w:sz="0" w:space="0" w:color="auto"/>
      </w:divBdr>
    </w:div>
    <w:div w:id="1339892918">
      <w:bodyDiv w:val="1"/>
      <w:marLeft w:val="0"/>
      <w:marRight w:val="0"/>
      <w:marTop w:val="0"/>
      <w:marBottom w:val="0"/>
      <w:divBdr>
        <w:top w:val="none" w:sz="0" w:space="0" w:color="auto"/>
        <w:left w:val="none" w:sz="0" w:space="0" w:color="auto"/>
        <w:bottom w:val="none" w:sz="0" w:space="0" w:color="auto"/>
        <w:right w:val="none" w:sz="0" w:space="0" w:color="auto"/>
      </w:divBdr>
    </w:div>
    <w:div w:id="1342776914">
      <w:bodyDiv w:val="1"/>
      <w:marLeft w:val="0"/>
      <w:marRight w:val="0"/>
      <w:marTop w:val="0"/>
      <w:marBottom w:val="0"/>
      <w:divBdr>
        <w:top w:val="none" w:sz="0" w:space="0" w:color="auto"/>
        <w:left w:val="none" w:sz="0" w:space="0" w:color="auto"/>
        <w:bottom w:val="none" w:sz="0" w:space="0" w:color="auto"/>
        <w:right w:val="none" w:sz="0" w:space="0" w:color="auto"/>
      </w:divBdr>
    </w:div>
    <w:div w:id="1374309765">
      <w:bodyDiv w:val="1"/>
      <w:marLeft w:val="0"/>
      <w:marRight w:val="0"/>
      <w:marTop w:val="0"/>
      <w:marBottom w:val="0"/>
      <w:divBdr>
        <w:top w:val="none" w:sz="0" w:space="0" w:color="auto"/>
        <w:left w:val="none" w:sz="0" w:space="0" w:color="auto"/>
        <w:bottom w:val="none" w:sz="0" w:space="0" w:color="auto"/>
        <w:right w:val="none" w:sz="0" w:space="0" w:color="auto"/>
      </w:divBdr>
    </w:div>
    <w:div w:id="1376350670">
      <w:bodyDiv w:val="1"/>
      <w:marLeft w:val="0"/>
      <w:marRight w:val="0"/>
      <w:marTop w:val="0"/>
      <w:marBottom w:val="0"/>
      <w:divBdr>
        <w:top w:val="none" w:sz="0" w:space="0" w:color="auto"/>
        <w:left w:val="none" w:sz="0" w:space="0" w:color="auto"/>
        <w:bottom w:val="none" w:sz="0" w:space="0" w:color="auto"/>
        <w:right w:val="none" w:sz="0" w:space="0" w:color="auto"/>
      </w:divBdr>
    </w:div>
    <w:div w:id="1404522614">
      <w:bodyDiv w:val="1"/>
      <w:marLeft w:val="0"/>
      <w:marRight w:val="0"/>
      <w:marTop w:val="0"/>
      <w:marBottom w:val="0"/>
      <w:divBdr>
        <w:top w:val="none" w:sz="0" w:space="0" w:color="auto"/>
        <w:left w:val="none" w:sz="0" w:space="0" w:color="auto"/>
        <w:bottom w:val="none" w:sz="0" w:space="0" w:color="auto"/>
        <w:right w:val="none" w:sz="0" w:space="0" w:color="auto"/>
      </w:divBdr>
    </w:div>
    <w:div w:id="1423989034">
      <w:bodyDiv w:val="1"/>
      <w:marLeft w:val="0"/>
      <w:marRight w:val="0"/>
      <w:marTop w:val="0"/>
      <w:marBottom w:val="0"/>
      <w:divBdr>
        <w:top w:val="none" w:sz="0" w:space="0" w:color="auto"/>
        <w:left w:val="none" w:sz="0" w:space="0" w:color="auto"/>
        <w:bottom w:val="none" w:sz="0" w:space="0" w:color="auto"/>
        <w:right w:val="none" w:sz="0" w:space="0" w:color="auto"/>
      </w:divBdr>
    </w:div>
    <w:div w:id="1451632700">
      <w:bodyDiv w:val="1"/>
      <w:marLeft w:val="0"/>
      <w:marRight w:val="0"/>
      <w:marTop w:val="0"/>
      <w:marBottom w:val="0"/>
      <w:divBdr>
        <w:top w:val="none" w:sz="0" w:space="0" w:color="auto"/>
        <w:left w:val="none" w:sz="0" w:space="0" w:color="auto"/>
        <w:bottom w:val="none" w:sz="0" w:space="0" w:color="auto"/>
        <w:right w:val="none" w:sz="0" w:space="0" w:color="auto"/>
      </w:divBdr>
    </w:div>
    <w:div w:id="1516338378">
      <w:bodyDiv w:val="1"/>
      <w:marLeft w:val="0"/>
      <w:marRight w:val="0"/>
      <w:marTop w:val="0"/>
      <w:marBottom w:val="0"/>
      <w:divBdr>
        <w:top w:val="none" w:sz="0" w:space="0" w:color="auto"/>
        <w:left w:val="none" w:sz="0" w:space="0" w:color="auto"/>
        <w:bottom w:val="none" w:sz="0" w:space="0" w:color="auto"/>
        <w:right w:val="none" w:sz="0" w:space="0" w:color="auto"/>
      </w:divBdr>
    </w:div>
    <w:div w:id="1541555734">
      <w:bodyDiv w:val="1"/>
      <w:marLeft w:val="0"/>
      <w:marRight w:val="0"/>
      <w:marTop w:val="0"/>
      <w:marBottom w:val="0"/>
      <w:divBdr>
        <w:top w:val="none" w:sz="0" w:space="0" w:color="auto"/>
        <w:left w:val="none" w:sz="0" w:space="0" w:color="auto"/>
        <w:bottom w:val="none" w:sz="0" w:space="0" w:color="auto"/>
        <w:right w:val="none" w:sz="0" w:space="0" w:color="auto"/>
      </w:divBdr>
    </w:div>
    <w:div w:id="1548027638">
      <w:bodyDiv w:val="1"/>
      <w:marLeft w:val="0"/>
      <w:marRight w:val="0"/>
      <w:marTop w:val="0"/>
      <w:marBottom w:val="0"/>
      <w:divBdr>
        <w:top w:val="none" w:sz="0" w:space="0" w:color="auto"/>
        <w:left w:val="none" w:sz="0" w:space="0" w:color="auto"/>
        <w:bottom w:val="none" w:sz="0" w:space="0" w:color="auto"/>
        <w:right w:val="none" w:sz="0" w:space="0" w:color="auto"/>
      </w:divBdr>
    </w:div>
    <w:div w:id="1594895823">
      <w:bodyDiv w:val="1"/>
      <w:marLeft w:val="0"/>
      <w:marRight w:val="0"/>
      <w:marTop w:val="0"/>
      <w:marBottom w:val="0"/>
      <w:divBdr>
        <w:top w:val="none" w:sz="0" w:space="0" w:color="auto"/>
        <w:left w:val="none" w:sz="0" w:space="0" w:color="auto"/>
        <w:bottom w:val="none" w:sz="0" w:space="0" w:color="auto"/>
        <w:right w:val="none" w:sz="0" w:space="0" w:color="auto"/>
      </w:divBdr>
    </w:div>
    <w:div w:id="1595092741">
      <w:bodyDiv w:val="1"/>
      <w:marLeft w:val="0"/>
      <w:marRight w:val="0"/>
      <w:marTop w:val="0"/>
      <w:marBottom w:val="0"/>
      <w:divBdr>
        <w:top w:val="none" w:sz="0" w:space="0" w:color="auto"/>
        <w:left w:val="none" w:sz="0" w:space="0" w:color="auto"/>
        <w:bottom w:val="none" w:sz="0" w:space="0" w:color="auto"/>
        <w:right w:val="none" w:sz="0" w:space="0" w:color="auto"/>
      </w:divBdr>
    </w:div>
    <w:div w:id="1625884390">
      <w:bodyDiv w:val="1"/>
      <w:marLeft w:val="0"/>
      <w:marRight w:val="0"/>
      <w:marTop w:val="0"/>
      <w:marBottom w:val="0"/>
      <w:divBdr>
        <w:top w:val="none" w:sz="0" w:space="0" w:color="auto"/>
        <w:left w:val="none" w:sz="0" w:space="0" w:color="auto"/>
        <w:bottom w:val="none" w:sz="0" w:space="0" w:color="auto"/>
        <w:right w:val="none" w:sz="0" w:space="0" w:color="auto"/>
      </w:divBdr>
    </w:div>
    <w:div w:id="1726948592">
      <w:bodyDiv w:val="1"/>
      <w:marLeft w:val="0"/>
      <w:marRight w:val="0"/>
      <w:marTop w:val="0"/>
      <w:marBottom w:val="0"/>
      <w:divBdr>
        <w:top w:val="none" w:sz="0" w:space="0" w:color="auto"/>
        <w:left w:val="none" w:sz="0" w:space="0" w:color="auto"/>
        <w:bottom w:val="none" w:sz="0" w:space="0" w:color="auto"/>
        <w:right w:val="none" w:sz="0" w:space="0" w:color="auto"/>
      </w:divBdr>
    </w:div>
    <w:div w:id="1755005949">
      <w:bodyDiv w:val="1"/>
      <w:marLeft w:val="0"/>
      <w:marRight w:val="0"/>
      <w:marTop w:val="0"/>
      <w:marBottom w:val="0"/>
      <w:divBdr>
        <w:top w:val="none" w:sz="0" w:space="0" w:color="auto"/>
        <w:left w:val="none" w:sz="0" w:space="0" w:color="auto"/>
        <w:bottom w:val="none" w:sz="0" w:space="0" w:color="auto"/>
        <w:right w:val="none" w:sz="0" w:space="0" w:color="auto"/>
      </w:divBdr>
    </w:div>
    <w:div w:id="1780950073">
      <w:bodyDiv w:val="1"/>
      <w:marLeft w:val="0"/>
      <w:marRight w:val="0"/>
      <w:marTop w:val="0"/>
      <w:marBottom w:val="0"/>
      <w:divBdr>
        <w:top w:val="none" w:sz="0" w:space="0" w:color="auto"/>
        <w:left w:val="none" w:sz="0" w:space="0" w:color="auto"/>
        <w:bottom w:val="none" w:sz="0" w:space="0" w:color="auto"/>
        <w:right w:val="none" w:sz="0" w:space="0" w:color="auto"/>
      </w:divBdr>
    </w:div>
    <w:div w:id="1891384112">
      <w:bodyDiv w:val="1"/>
      <w:marLeft w:val="0"/>
      <w:marRight w:val="0"/>
      <w:marTop w:val="0"/>
      <w:marBottom w:val="0"/>
      <w:divBdr>
        <w:top w:val="none" w:sz="0" w:space="0" w:color="auto"/>
        <w:left w:val="none" w:sz="0" w:space="0" w:color="auto"/>
        <w:bottom w:val="none" w:sz="0" w:space="0" w:color="auto"/>
        <w:right w:val="none" w:sz="0" w:space="0" w:color="auto"/>
      </w:divBdr>
    </w:div>
    <w:div w:id="1979727829">
      <w:bodyDiv w:val="1"/>
      <w:marLeft w:val="0"/>
      <w:marRight w:val="0"/>
      <w:marTop w:val="0"/>
      <w:marBottom w:val="0"/>
      <w:divBdr>
        <w:top w:val="none" w:sz="0" w:space="0" w:color="auto"/>
        <w:left w:val="none" w:sz="0" w:space="0" w:color="auto"/>
        <w:bottom w:val="none" w:sz="0" w:space="0" w:color="auto"/>
        <w:right w:val="none" w:sz="0" w:space="0" w:color="auto"/>
      </w:divBdr>
    </w:div>
    <w:div w:id="2011593866">
      <w:bodyDiv w:val="1"/>
      <w:marLeft w:val="0"/>
      <w:marRight w:val="0"/>
      <w:marTop w:val="0"/>
      <w:marBottom w:val="0"/>
      <w:divBdr>
        <w:top w:val="none" w:sz="0" w:space="0" w:color="auto"/>
        <w:left w:val="none" w:sz="0" w:space="0" w:color="auto"/>
        <w:bottom w:val="none" w:sz="0" w:space="0" w:color="auto"/>
        <w:right w:val="none" w:sz="0" w:space="0" w:color="auto"/>
      </w:divBdr>
    </w:div>
    <w:div w:id="2035501439">
      <w:bodyDiv w:val="1"/>
      <w:marLeft w:val="0"/>
      <w:marRight w:val="0"/>
      <w:marTop w:val="0"/>
      <w:marBottom w:val="0"/>
      <w:divBdr>
        <w:top w:val="none" w:sz="0" w:space="0" w:color="auto"/>
        <w:left w:val="none" w:sz="0" w:space="0" w:color="auto"/>
        <w:bottom w:val="none" w:sz="0" w:space="0" w:color="auto"/>
        <w:right w:val="none" w:sz="0" w:space="0" w:color="auto"/>
      </w:divBdr>
    </w:div>
    <w:div w:id="2083287733">
      <w:bodyDiv w:val="1"/>
      <w:marLeft w:val="0"/>
      <w:marRight w:val="0"/>
      <w:marTop w:val="0"/>
      <w:marBottom w:val="0"/>
      <w:divBdr>
        <w:top w:val="none" w:sz="0" w:space="0" w:color="auto"/>
        <w:left w:val="none" w:sz="0" w:space="0" w:color="auto"/>
        <w:bottom w:val="none" w:sz="0" w:space="0" w:color="auto"/>
        <w:right w:val="none" w:sz="0" w:space="0" w:color="auto"/>
      </w:divBdr>
    </w:div>
    <w:div w:id="2094355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Vancouver.XSL" StyleName="Vancouver" Version="1">
  <b:Source>
    <b:Tag>Bri09</b:Tag>
    <b:SourceType>DocumentFromInternetSite</b:SourceType>
    <b:Guid>{59775C4E-625C-49E0-9D12-28F39522C8BB}</b:Guid>
    <b:Title>Guidelines for Handling of Medication in Community Based Palliative Care Services in Queensland</b:Title>
    <b:Year>2015</b:Year>
    <b:Author>
      <b:Author>
        <b:Corporate>Brisbane South Palliative Care Collaborative</b:Corporate>
      </b:Author>
    </b:Author>
    <b:YearAccessed>2015</b:YearAccessed>
    <b:MonthAccessed>05</b:MonthAccessed>
    <b:DayAccessed>01</b:DayAccessed>
    <b:URL>http://www.health.qld.gov.au/cpcre/pdf/medguidepall.pdf</b:URL>
    <b:Month>March</b:Month>
    <b:RefOrder>1</b:RefOrder>
  </b:Source>
  <b:Source>
    <b:Tag>Leg15</b:Tag>
    <b:SourceType>ElectronicSource</b:SourceType>
    <b:Guid>{C503C943-2785-47EE-A868-815D9C3F7AB8}</b:Guid>
    <b:Title>Misuse of Drugs Act 1971 (Section 7)</b:Title>
    <b:YearAccessed>2015</b:YearAccessed>
    <b:MonthAccessed>11</b:MonthAccessed>
    <b:DayAccessed>23</b:DayAccessed>
    <b:URL>http://www.legislation.gov.uk/ukpga/1971/38/section/7</b:URL>
    <b:Author>
      <b:Author>
        <b:Corporate>Legislation.gov.uk</b:Corporate>
      </b:Author>
    </b:Author>
    <b:RefOrder>2</b:RefOrder>
  </b:Source>
  <b:Source>
    <b:Tag>Med09</b:Tag>
    <b:SourceType>Misc</b:SourceType>
    <b:Guid>{799E2660-9E48-46EF-9107-6F37CCA57D59}</b:Guid>
    <b:Title>Reply to a request for infomration to Dr Lucy Boyland re: Is it legal for carers to administer controlled drugs?</b:Title>
    <b:Year>2009</b:Year>
    <b:Author>
      <b:Author>
        <b:Corporate>Medical Defence Union</b:Corporate>
      </b:Author>
    </b:Author>
    <b:Publisher>Palliativedrugs.com discussion forum</b:Publisher>
    <b:RefOrder>3</b:RefOrder>
  </b:Source>
  <b:Source>
    <b:Tag>NHS09</b:Tag>
    <b:SourceType>Report</b:SourceType>
    <b:Guid>{F0AC6079-E5EF-45FA-9BCE-B4B26B71A983}</b:Guid>
    <b:Year>2009</b:Year>
    <b:Author>
      <b:Author>
        <b:Corporate>NHS National Prescribing Centre</b:Corporate>
      </b:Author>
    </b:Author>
    <b:Title>A guide to good practice in the management of controlled drugs in primary care (England)</b:Title>
    <b:RefOrder>4</b:RefOrder>
  </b:Source>
  <b:Source>
    <b:Tag>Bri151</b:Tag>
    <b:SourceType>ElectronicSource</b:SourceType>
    <b:Guid>{3856E01C-250B-4E2F-BF69-BECC22DA6719}</b:Guid>
    <b:Author>
      <b:Author>
        <b:Corporate>British National Formulary</b:Corporate>
      </b:Author>
    </b:Author>
    <b:Year>2015</b:Year>
    <b:YearAccessed>2015</b:YearAccessed>
    <b:MonthAccessed>November</b:MonthAccessed>
    <b:DayAccessed>23</b:DayAccessed>
    <b:URL>http://www.evidence.nhs.uk/formulary/bnf/current/guidance-on-prescribing/controlled-drugs-and-drug-dependence</b:URL>
    <b:Title>Controlled Drugs and drug dependence</b:Title>
    <b:Month>November</b:Month>
    <b:RefOrder>5</b:RefOrder>
  </b:Source>
  <b:Source>
    <b:Tag>Nur10</b:Tag>
    <b:SourceType>ElectronicSource</b:SourceType>
    <b:Guid>{4F76067B-AFA1-4320-AFA3-E214F867F109}</b:Guid>
    <b:Title>Standards for medicines management</b:Title>
    <b:Year>2010</b:Year>
    <b:Author>
      <b:Author>
        <b:Corporate>Nursing &amp; Midwifery Council</b:Corporate>
      </b:Author>
    </b:Author>
    <b:YearAccessed>2015</b:YearAccessed>
    <b:MonthAccessed>November</b:MonthAccessed>
    <b:DayAccessed>23</b:DayAccessed>
    <b:URL>http://www.nmc.org.uk/globalassets/siteDocuments/NMC-Publications/NMC-Standards-for-medicines-management.pdf</b:URL>
    <b:RefOrder>6</b:RefOrder>
  </b:Source>
  <b:Source>
    <b:Tag>Dep131</b:Tag>
    <b:SourceType>Report</b:SourceType>
    <b:Guid>{D466B8BF-5A29-4394-AB0B-89F3F0A8B621}</b:Guid>
    <b:Author>
      <b:Author>
        <b:Corporate>Department of Health, Social Services and Public Safety</b:Corporate>
      </b:Author>
    </b:Author>
    <b:Title>Safer Management of Controlled Drugs: A guide to good practice in primary care (Northern Ireland)</b:Title>
    <b:Year>2013</b:Year>
    <b:RefOrder>7</b:RefOrder>
  </b:Source>
  <b:Source>
    <b:Tag>Dur08</b:Tag>
    <b:SourceType>Report</b:SourceType>
    <b:Guid>{D71B3753-6A84-4004-9867-AAF045A7FE35}</b:Guid>
    <b:Year>2008</b:Year>
    <b:URL>http://www.dignityincare.org.uk/_library/Regional_Model_of_Good_Practice_Policy_for_Medication_-_Reviewed_08.pdf</b:URL>
    <b:Author>
      <b:Author>
        <b:Corporate>Durham and Tess Valley Regional Medication Policy Group</b:Corporate>
      </b:Author>
    </b:Author>
    <b:Title>Model of Good Practice for the Development of Policy for the Safe Handling, Management and Adminstration of Medication by Carers within Domiciliary Care across the North East of England</b:Title>
    <b:RefOrder>8</b:RefOrder>
  </b:Source>
  <b:Source>
    <b:Tag>Bri15</b:Tag>
    <b:SourceType>ElectronicSource</b:SourceType>
    <b:Guid>{FFE4B249-FA01-47B4-9A76-9D18C4B460AF}</b:Guid>
    <b:Author>
      <b:Author>
        <b:Corporate>British Medical Association</b:Corporate>
      </b:Author>
    </b:Author>
    <b:YearAccessed>2015</b:YearAccessed>
    <b:MonthAccessed>11</b:MonthAccessed>
    <b:DayAccessed>21</b:DayAccessed>
    <b:URL>http://bma.org.uk/support-at-work/gp-practices/service-provision/prescribing/focus-on-anticipatory-prescribing-for-end-of-life-care</b:URL>
    <b:Title>GP practices: Focus on anticipatory prescribing for end-of-life care</b:Title>
    <b:RefOrder>9</b:RefOrder>
  </b:Source>
  <b:Source>
    <b:Tag>leg15</b:Tag>
    <b:SourceType>ElectronicSource</b:SourceType>
    <b:Guid>{386D59A8-8471-45A2-83AC-4B7EEAAC5F97}</b:Guid>
    <b:Title>Mental Capacity Act 2005 (Section 1)</b:Title>
    <b:Author>
      <b:Author>
        <b:Corporate>legislation.gov.uk</b:Corporate>
      </b:Author>
    </b:Author>
    <b:YearAccessed>2015</b:YearAccessed>
    <b:MonthAccessed>November</b:MonthAccessed>
    <b:DayAccessed>27</b:DayAccessed>
    <b:URL>http://www.legislation.gov.uk/ukpga/2005/9/section/1</b:URL>
    <b:RefOrder>10</b:RefOrder>
  </b:Source>
  <b:Source>
    <b:Tag>Dep071</b:Tag>
    <b:SourceType>Report</b:SourceType>
    <b:Guid>{8A927042-ACFC-4D7E-9726-064887590005}</b:Guid>
    <b:Title>Mental Capacity Act 2005 Code of Practice</b:Title>
    <b:Year>2007</b:Year>
    <b:YearAccessed>2015</b:YearAccessed>
    <b:MonthAccessed>November</b:MonthAccessed>
    <b:DayAccessed>27</b:DayAccessed>
    <b:URL>http://www.legislation.gov.uk/ukpga/2005/9/pdfs/ukpgacop_20050009_en.pdf</b:URL>
    <b:Author>
      <b:Author>
        <b:Corporate>Department for Constitutional Affairs</b:Corporate>
      </b:Author>
    </b:Author>
    <b:City>London</b:City>
    <b:Publisher>TSO</b:Publisher>
    <b:RefOrder>11</b:RefOrder>
  </b:Source>
  <b:Source>
    <b:Tag>Ander08</b:Tag>
    <b:SourceType>JournalArticle</b:SourceType>
    <b:Guid>{3A876EDA-E9F3-47CE-80FE-F2B2CF4435F9}</b:Guid>
    <b:Year>2008</b:Year>
    <b:Title>Sterility, stability and potency of medications adminstered by carers in home-based palliative care setting.</b:Title>
    <b:JournalName>Research Informed Practice</b:JournalName>
    <b:Volume>51</b:Volume>
    <b:Author>
      <b:Author>
        <b:NameList>
          <b:Person>
            <b:Last>Anderson</b:Last>
            <b:First>B</b:First>
          </b:Person>
          <b:Person>
            <b:Last>Kralik</b:Last>
            <b:First>D</b:First>
          </b:Person>
        </b:NameList>
      </b:Author>
    </b:Author>
    <b:RefOrder>12</b:RefOrder>
  </b:Source>
</b:Sources>
</file>

<file path=customXml/itemProps1.xml><?xml version="1.0" encoding="utf-8"?>
<ds:datastoreItem xmlns:ds="http://schemas.openxmlformats.org/officeDocument/2006/customXml" ds:itemID="{D0CEA4E3-ADFC-45E0-803A-EFCB8A57D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1305</Words>
  <Characters>7442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Pryfysgol Bangor University</Company>
  <LinksUpToDate>false</LinksUpToDate>
  <CharactersWithSpaces>8730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Marlise Poolman</dc:creator>
  <cp:keywords/>
  <dc:description/>
  <cp:lastModifiedBy>Martin Theunissen</cp:lastModifiedBy>
  <cp:revision>4</cp:revision>
  <dcterms:created xsi:type="dcterms:W3CDTF">2018-12-07T14:35:00Z</dcterms:created>
  <dcterms:modified xsi:type="dcterms:W3CDTF">2018-12-07T14:49:00Z</dcterms:modified>
</cp:coreProperties>
</file>