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11753D" w14:textId="77777777" w:rsidR="003527CA" w:rsidRPr="004375DD" w:rsidRDefault="003527CA" w:rsidP="003527CA">
      <w:pPr>
        <w:pStyle w:val="MStitle"/>
        <w:rPr>
          <w:rFonts w:eastAsiaTheme="minorEastAsia"/>
          <w:i/>
          <w:lang w:eastAsia="zh-CN"/>
        </w:rPr>
      </w:pPr>
      <w:r w:rsidRPr="004375DD">
        <w:rPr>
          <w:rFonts w:eastAsiaTheme="minorEastAsia" w:hint="eastAsia"/>
          <w:i/>
          <w:lang w:eastAsia="zh-CN"/>
        </w:rPr>
        <w:t>Supplementary file for:</w:t>
      </w:r>
    </w:p>
    <w:p w14:paraId="53CB98C6" w14:textId="77777777" w:rsidR="003527CA" w:rsidRPr="00243A82" w:rsidRDefault="003527CA" w:rsidP="003527CA">
      <w:pPr>
        <w:pStyle w:val="MStitle"/>
      </w:pPr>
      <w:r w:rsidRPr="00243A82">
        <w:t>An integrated view of homologous emissions of greenhouse gases and air pollutants in China</w:t>
      </w:r>
    </w:p>
    <w:p w14:paraId="44B0C82F" w14:textId="77777777" w:rsidR="003527CA" w:rsidRPr="00243A82" w:rsidRDefault="003527CA" w:rsidP="003527CA">
      <w:pPr>
        <w:spacing w:before="180"/>
        <w:rPr>
          <w:rFonts w:ascii="Times New Roman" w:eastAsia="等线" w:hAnsi="Times New Roman" w:cs="Times New Roman"/>
          <w:sz w:val="24"/>
          <w:szCs w:val="24"/>
        </w:rPr>
      </w:pPr>
      <w:proofErr w:type="spellStart"/>
      <w:r w:rsidRPr="00243A82">
        <w:rPr>
          <w:rFonts w:ascii="Times New Roman" w:eastAsia="Times New Roman" w:hAnsi="Times New Roman" w:cs="Times New Roman"/>
          <w:kern w:val="0"/>
          <w:sz w:val="24"/>
          <w:szCs w:val="24"/>
          <w:lang w:val="en-GB" w:eastAsia="de-DE"/>
        </w:rPr>
        <w:t>Xiaohui</w:t>
      </w:r>
      <w:proofErr w:type="spellEnd"/>
      <w:r w:rsidRPr="00243A82">
        <w:rPr>
          <w:rFonts w:ascii="Times New Roman" w:eastAsia="Times New Roman" w:hAnsi="Times New Roman" w:cs="Times New Roman"/>
          <w:kern w:val="0"/>
          <w:sz w:val="24"/>
          <w:szCs w:val="24"/>
          <w:lang w:val="en-GB" w:eastAsia="de-DE"/>
        </w:rPr>
        <w:t xml:space="preserve"> Lin</w:t>
      </w:r>
      <w:r w:rsidRPr="00243A82">
        <w:rPr>
          <w:rFonts w:ascii="Times New Roman" w:eastAsia="等线" w:hAnsi="Times New Roman" w:cs="Times New Roman"/>
          <w:sz w:val="24"/>
          <w:szCs w:val="24"/>
          <w:vertAlign w:val="superscript"/>
        </w:rPr>
        <w:t>1</w:t>
      </w:r>
      <w:r w:rsidRPr="00243A82">
        <w:rPr>
          <w:rFonts w:ascii="Times New Roman" w:eastAsia="等线" w:hAnsi="Times New Roman" w:cs="Times New Roman"/>
          <w:sz w:val="24"/>
          <w:szCs w:val="24"/>
        </w:rPr>
        <w:t xml:space="preserve">, </w:t>
      </w:r>
      <w:proofErr w:type="spellStart"/>
      <w:r w:rsidRPr="00243A82">
        <w:rPr>
          <w:rFonts w:ascii="Times New Roman" w:eastAsia="等线" w:hAnsi="Times New Roman" w:cs="Times New Roman"/>
          <w:sz w:val="24"/>
          <w:szCs w:val="24"/>
        </w:rPr>
        <w:t>Ruqi</w:t>
      </w:r>
      <w:proofErr w:type="spellEnd"/>
      <w:r w:rsidRPr="00243A82">
        <w:rPr>
          <w:rFonts w:ascii="Times New Roman" w:eastAsia="等线" w:hAnsi="Times New Roman" w:cs="Times New Roman"/>
          <w:sz w:val="24"/>
          <w:szCs w:val="24"/>
        </w:rPr>
        <w:t xml:space="preserve"> Yang</w:t>
      </w:r>
      <w:r w:rsidRPr="00243A82">
        <w:rPr>
          <w:rFonts w:ascii="Times New Roman" w:eastAsia="等线" w:hAnsi="Times New Roman" w:cs="Times New Roman"/>
          <w:sz w:val="24"/>
          <w:szCs w:val="24"/>
          <w:vertAlign w:val="superscript"/>
        </w:rPr>
        <w:t>2</w:t>
      </w:r>
      <w:r w:rsidRPr="00243A82">
        <w:rPr>
          <w:rFonts w:ascii="Times New Roman" w:eastAsia="等线" w:hAnsi="Times New Roman" w:cs="Times New Roman"/>
          <w:sz w:val="24"/>
          <w:szCs w:val="24"/>
        </w:rPr>
        <w:t>, Wen Zhang</w:t>
      </w:r>
      <w:r w:rsidRPr="00243A82">
        <w:rPr>
          <w:rFonts w:ascii="Times New Roman" w:eastAsia="等线" w:hAnsi="Times New Roman" w:cs="Times New Roman"/>
          <w:sz w:val="24"/>
          <w:szCs w:val="24"/>
          <w:vertAlign w:val="superscript"/>
        </w:rPr>
        <w:t>1*</w:t>
      </w:r>
      <w:r w:rsidRPr="00243A82">
        <w:rPr>
          <w:rFonts w:ascii="Times New Roman" w:eastAsia="等线" w:hAnsi="Times New Roman" w:cs="Times New Roman"/>
          <w:sz w:val="24"/>
          <w:szCs w:val="24"/>
        </w:rPr>
        <w:t xml:space="preserve">, </w:t>
      </w:r>
      <w:proofErr w:type="spellStart"/>
      <w:r w:rsidRPr="00243A82">
        <w:rPr>
          <w:rFonts w:ascii="Times New Roman" w:eastAsia="等线" w:hAnsi="Times New Roman" w:cs="Times New Roman"/>
          <w:sz w:val="24"/>
          <w:szCs w:val="24"/>
        </w:rPr>
        <w:t>Ning</w:t>
      </w:r>
      <w:proofErr w:type="spellEnd"/>
      <w:r w:rsidRPr="00243A82">
        <w:rPr>
          <w:rFonts w:ascii="Times New Roman" w:eastAsia="等线" w:hAnsi="Times New Roman" w:cs="Times New Roman"/>
          <w:sz w:val="24"/>
          <w:szCs w:val="24"/>
        </w:rPr>
        <w:t xml:space="preserve"> Zeng</w:t>
      </w:r>
      <w:r w:rsidRPr="00243A82">
        <w:rPr>
          <w:rFonts w:ascii="Times New Roman" w:eastAsia="等线" w:hAnsi="Times New Roman" w:cs="Times New Roman"/>
          <w:sz w:val="24"/>
          <w:szCs w:val="24"/>
          <w:vertAlign w:val="superscript"/>
        </w:rPr>
        <w:t>3</w:t>
      </w:r>
      <w:r w:rsidRPr="00243A82">
        <w:rPr>
          <w:rFonts w:ascii="Times New Roman" w:eastAsia="等线" w:hAnsi="Times New Roman" w:cs="Times New Roman"/>
          <w:sz w:val="24"/>
          <w:szCs w:val="24"/>
        </w:rPr>
        <w:t>, Yu Zhao</w:t>
      </w:r>
      <w:r w:rsidRPr="00243A82">
        <w:rPr>
          <w:rFonts w:ascii="Times New Roman" w:eastAsia="等线" w:hAnsi="Times New Roman" w:cs="Times New Roman"/>
          <w:sz w:val="24"/>
          <w:szCs w:val="24"/>
          <w:vertAlign w:val="superscript"/>
        </w:rPr>
        <w:t>4</w:t>
      </w:r>
      <w:r w:rsidRPr="00243A82">
        <w:rPr>
          <w:rFonts w:ascii="Times New Roman" w:eastAsia="等线" w:hAnsi="Times New Roman" w:cs="Times New Roman"/>
          <w:sz w:val="24"/>
          <w:szCs w:val="24"/>
        </w:rPr>
        <w:t xml:space="preserve">, </w:t>
      </w:r>
      <w:proofErr w:type="spellStart"/>
      <w:r w:rsidRPr="00243A82">
        <w:rPr>
          <w:rFonts w:ascii="Times New Roman" w:eastAsia="等线" w:hAnsi="Times New Roman" w:cs="Times New Roman"/>
          <w:sz w:val="24"/>
          <w:szCs w:val="24"/>
        </w:rPr>
        <w:t>Guocheng</w:t>
      </w:r>
      <w:proofErr w:type="spellEnd"/>
      <w:r w:rsidRPr="00243A82">
        <w:rPr>
          <w:rFonts w:ascii="Times New Roman" w:eastAsia="等线" w:hAnsi="Times New Roman" w:cs="Times New Roman"/>
          <w:sz w:val="24"/>
          <w:szCs w:val="24"/>
        </w:rPr>
        <w:t xml:space="preserve"> Wang</w:t>
      </w:r>
      <w:r w:rsidRPr="00243A82">
        <w:rPr>
          <w:rFonts w:ascii="Times New Roman" w:eastAsia="等线" w:hAnsi="Times New Roman" w:cs="Times New Roman"/>
          <w:sz w:val="24"/>
          <w:szCs w:val="24"/>
          <w:vertAlign w:val="superscript"/>
        </w:rPr>
        <w:t>1</w:t>
      </w:r>
      <w:r w:rsidRPr="00243A82">
        <w:rPr>
          <w:rFonts w:ascii="Times New Roman" w:eastAsia="等线" w:hAnsi="Times New Roman" w:cs="Times New Roman"/>
          <w:sz w:val="24"/>
          <w:szCs w:val="24"/>
        </w:rPr>
        <w:t xml:space="preserve">, </w:t>
      </w:r>
      <w:proofErr w:type="spellStart"/>
      <w:r w:rsidRPr="00243A82">
        <w:rPr>
          <w:rFonts w:ascii="Times New Roman" w:eastAsia="等线" w:hAnsi="Times New Roman" w:cs="Times New Roman"/>
          <w:sz w:val="24"/>
          <w:szCs w:val="24"/>
        </w:rPr>
        <w:t>Tingting</w:t>
      </w:r>
      <w:proofErr w:type="spellEnd"/>
      <w:r w:rsidRPr="00243A82">
        <w:rPr>
          <w:rFonts w:ascii="Times New Roman" w:eastAsia="等线" w:hAnsi="Times New Roman" w:cs="Times New Roman"/>
          <w:sz w:val="24"/>
          <w:szCs w:val="24"/>
        </w:rPr>
        <w:t xml:space="preserve"> Li</w:t>
      </w:r>
      <w:r w:rsidRPr="00243A82">
        <w:rPr>
          <w:rFonts w:ascii="Times New Roman" w:eastAsia="等线" w:hAnsi="Times New Roman" w:cs="Times New Roman"/>
          <w:sz w:val="24"/>
          <w:szCs w:val="24"/>
          <w:vertAlign w:val="superscript"/>
        </w:rPr>
        <w:t>1,5</w:t>
      </w:r>
      <w:r w:rsidRPr="00243A82">
        <w:rPr>
          <w:rFonts w:ascii="Times New Roman" w:eastAsia="等线" w:hAnsi="Times New Roman" w:cs="Times New Roman"/>
          <w:sz w:val="24"/>
          <w:szCs w:val="24"/>
        </w:rPr>
        <w:t>，</w:t>
      </w:r>
      <w:proofErr w:type="spellStart"/>
      <w:r w:rsidRPr="00243A82">
        <w:rPr>
          <w:rFonts w:ascii="Times New Roman" w:eastAsia="等线" w:hAnsi="Times New Roman" w:cs="Times New Roman"/>
          <w:sz w:val="24"/>
          <w:szCs w:val="24"/>
        </w:rPr>
        <w:t>Qixiang</w:t>
      </w:r>
      <w:proofErr w:type="spellEnd"/>
      <w:r w:rsidRPr="00243A82">
        <w:rPr>
          <w:rFonts w:ascii="Times New Roman" w:eastAsia="等线" w:hAnsi="Times New Roman" w:cs="Times New Roman"/>
          <w:sz w:val="24"/>
          <w:szCs w:val="24"/>
        </w:rPr>
        <w:t xml:space="preserve"> Cai</w:t>
      </w:r>
      <w:r w:rsidRPr="00243A82">
        <w:rPr>
          <w:rFonts w:ascii="Times New Roman" w:eastAsia="等线" w:hAnsi="Times New Roman" w:cs="Times New Roman"/>
          <w:sz w:val="24"/>
          <w:szCs w:val="24"/>
          <w:vertAlign w:val="superscript"/>
        </w:rPr>
        <w:t>2*</w:t>
      </w:r>
      <w:r w:rsidRPr="00243A82">
        <w:rPr>
          <w:rFonts w:ascii="Times New Roman" w:eastAsia="等线" w:hAnsi="Times New Roman" w:cs="Times New Roman"/>
          <w:sz w:val="24"/>
          <w:szCs w:val="24"/>
        </w:rPr>
        <w:t xml:space="preserve"> </w:t>
      </w:r>
    </w:p>
    <w:p w14:paraId="4CFC8E43" w14:textId="77777777" w:rsidR="003527CA" w:rsidRPr="00243A82" w:rsidRDefault="003527CA" w:rsidP="003527CA">
      <w:pPr>
        <w:contextualSpacing/>
        <w:rPr>
          <w:rFonts w:ascii="Times New Roman" w:eastAsia="等线" w:hAnsi="Times New Roman" w:cs="Times New Roman"/>
          <w:noProof/>
          <w:sz w:val="20"/>
          <w:szCs w:val="20"/>
        </w:rPr>
      </w:pPr>
      <w:r w:rsidRPr="00243A82">
        <w:rPr>
          <w:rFonts w:ascii="Times New Roman" w:eastAsia="等线" w:hAnsi="Times New Roman" w:cs="Times New Roman"/>
          <w:noProof/>
          <w:sz w:val="20"/>
          <w:szCs w:val="20"/>
          <w:vertAlign w:val="superscript"/>
        </w:rPr>
        <w:t>1</w:t>
      </w:r>
      <w:r w:rsidRPr="00243A82">
        <w:rPr>
          <w:rFonts w:ascii="Times New Roman" w:eastAsia="等线" w:hAnsi="Times New Roman" w:cs="Times New Roman"/>
          <w:noProof/>
          <w:sz w:val="20"/>
          <w:szCs w:val="20"/>
        </w:rPr>
        <w:t xml:space="preserve">State Key Laboratory of Atmospheric Boundary Layer Physics and Atmospheric Chemistry, Institute of Atmospheric Physics, Chinese Academy of Sciences, Beijing, China </w:t>
      </w:r>
    </w:p>
    <w:p w14:paraId="0FEA7C5B" w14:textId="77777777" w:rsidR="003527CA" w:rsidRPr="00243A82" w:rsidRDefault="003527CA" w:rsidP="003527CA">
      <w:pPr>
        <w:contextualSpacing/>
        <w:rPr>
          <w:rFonts w:ascii="Times New Roman" w:eastAsia="等线" w:hAnsi="Times New Roman" w:cs="Times New Roman"/>
          <w:noProof/>
          <w:sz w:val="20"/>
          <w:szCs w:val="20"/>
        </w:rPr>
      </w:pPr>
      <w:r w:rsidRPr="00243A82">
        <w:rPr>
          <w:rFonts w:ascii="Times New Roman" w:eastAsia="等线" w:hAnsi="Times New Roman" w:cs="Times New Roman"/>
          <w:noProof/>
          <w:sz w:val="20"/>
          <w:szCs w:val="20"/>
          <w:vertAlign w:val="superscript"/>
        </w:rPr>
        <w:t>2</w:t>
      </w:r>
      <w:r w:rsidRPr="00243A82">
        <w:rPr>
          <w:rFonts w:ascii="Times New Roman" w:eastAsia="等线" w:hAnsi="Times New Roman" w:cs="Times New Roman"/>
          <w:noProof/>
          <w:sz w:val="20"/>
          <w:szCs w:val="20"/>
        </w:rPr>
        <w:t>State Key Laboratory of Numerical Modeling for Atmospheric Sciences and Geophysical Fluid Dynamics, Institute of Atmospheric Physics, Chinese Academy of Sciences, Beijing, China</w:t>
      </w:r>
    </w:p>
    <w:p w14:paraId="31B164A2" w14:textId="77777777" w:rsidR="003527CA" w:rsidRPr="00243A82" w:rsidRDefault="003527CA" w:rsidP="003527CA">
      <w:pPr>
        <w:contextualSpacing/>
        <w:rPr>
          <w:rFonts w:ascii="Times New Roman" w:eastAsia="等线" w:hAnsi="Times New Roman" w:cs="Times New Roman"/>
          <w:noProof/>
          <w:sz w:val="20"/>
          <w:szCs w:val="20"/>
        </w:rPr>
      </w:pPr>
      <w:r w:rsidRPr="00243A82">
        <w:rPr>
          <w:rFonts w:ascii="Times New Roman" w:eastAsia="等线" w:hAnsi="Times New Roman" w:cs="Times New Roman"/>
          <w:noProof/>
          <w:sz w:val="20"/>
          <w:szCs w:val="20"/>
          <w:vertAlign w:val="superscript"/>
        </w:rPr>
        <w:t>3</w:t>
      </w:r>
      <w:r w:rsidRPr="00243A82">
        <w:rPr>
          <w:rFonts w:ascii="Times New Roman" w:eastAsia="等线" w:hAnsi="Times New Roman" w:cs="Times New Roman"/>
          <w:noProof/>
          <w:sz w:val="20"/>
          <w:szCs w:val="20"/>
        </w:rPr>
        <w:t>Department of Atmospheric and Oceanic Science, and Earth System Science Interdisciplinary Center, University of Maryland, College Park, Maryland, USA</w:t>
      </w:r>
    </w:p>
    <w:p w14:paraId="7D6E6FD1" w14:textId="77777777" w:rsidR="003527CA" w:rsidRPr="00243A82" w:rsidRDefault="003527CA" w:rsidP="003527CA">
      <w:pPr>
        <w:contextualSpacing/>
        <w:rPr>
          <w:rFonts w:ascii="Times New Roman" w:eastAsia="等线" w:hAnsi="Times New Roman" w:cs="Times New Roman"/>
          <w:noProof/>
          <w:sz w:val="20"/>
          <w:szCs w:val="20"/>
        </w:rPr>
      </w:pPr>
      <w:r w:rsidRPr="00243A82">
        <w:rPr>
          <w:rFonts w:ascii="Times New Roman" w:eastAsia="等线" w:hAnsi="Times New Roman" w:cs="Times New Roman"/>
          <w:noProof/>
          <w:sz w:val="20"/>
          <w:szCs w:val="20"/>
          <w:vertAlign w:val="superscript"/>
        </w:rPr>
        <w:t>4</w:t>
      </w:r>
      <w:r w:rsidRPr="00243A82">
        <w:rPr>
          <w:rFonts w:ascii="Times New Roman" w:eastAsia="等线" w:hAnsi="Times New Roman" w:cs="Times New Roman"/>
          <w:noProof/>
          <w:sz w:val="20"/>
          <w:szCs w:val="20"/>
        </w:rPr>
        <w:t>State Key Laboratory of Pollution Control &amp; Resource Reuse and School of the Environment, Nanjing University, 163 Xianlin Ave., Nanjing, Jiangsu, China</w:t>
      </w:r>
    </w:p>
    <w:p w14:paraId="10C4A462" w14:textId="77777777" w:rsidR="003527CA" w:rsidRDefault="003527CA" w:rsidP="003527CA">
      <w:pPr>
        <w:contextualSpacing/>
        <w:rPr>
          <w:rFonts w:ascii="Times New Roman" w:eastAsia="等线" w:hAnsi="Times New Roman" w:cs="Times New Roman"/>
          <w:noProof/>
          <w:sz w:val="20"/>
          <w:szCs w:val="20"/>
        </w:rPr>
      </w:pPr>
      <w:r w:rsidRPr="00243A82">
        <w:rPr>
          <w:rFonts w:ascii="Times New Roman" w:eastAsia="等线" w:hAnsi="Times New Roman" w:cs="Times New Roman"/>
          <w:noProof/>
          <w:sz w:val="20"/>
          <w:szCs w:val="20"/>
          <w:vertAlign w:val="superscript"/>
        </w:rPr>
        <w:t>5</w:t>
      </w:r>
      <w:r w:rsidRPr="00243A82">
        <w:rPr>
          <w:rFonts w:ascii="Times New Roman" w:eastAsia="等线" w:hAnsi="Times New Roman" w:cs="Times New Roman"/>
          <w:noProof/>
          <w:sz w:val="20"/>
          <w:szCs w:val="20"/>
        </w:rPr>
        <w:t>Southern Marine Science and Engineering Guangdong Laboratory (Zhuhai), Zhuhai</w:t>
      </w:r>
      <w:r>
        <w:rPr>
          <w:rFonts w:ascii="Times New Roman" w:eastAsia="等线" w:hAnsi="Times New Roman" w:cs="Times New Roman" w:hint="eastAsia"/>
          <w:noProof/>
          <w:sz w:val="20"/>
          <w:szCs w:val="20"/>
        </w:rPr>
        <w:t>, Guangdong</w:t>
      </w:r>
      <w:r w:rsidRPr="00243A82">
        <w:rPr>
          <w:rFonts w:ascii="Times New Roman" w:eastAsia="等线" w:hAnsi="Times New Roman" w:cs="Times New Roman"/>
          <w:noProof/>
          <w:sz w:val="20"/>
          <w:szCs w:val="20"/>
        </w:rPr>
        <w:t>, China</w:t>
      </w:r>
    </w:p>
    <w:p w14:paraId="62E2F607" w14:textId="77777777" w:rsidR="003527CA" w:rsidRDefault="003527CA" w:rsidP="003527CA">
      <w:pPr>
        <w:contextualSpacing/>
        <w:rPr>
          <w:rFonts w:ascii="Times New Roman" w:eastAsia="等线" w:hAnsi="Times New Roman" w:cs="Times New Roman"/>
          <w:noProof/>
          <w:sz w:val="20"/>
          <w:szCs w:val="20"/>
        </w:rPr>
      </w:pPr>
    </w:p>
    <w:p w14:paraId="38054DC0" w14:textId="77777777" w:rsidR="003527CA" w:rsidRDefault="003527CA" w:rsidP="003527CA">
      <w:pPr>
        <w:spacing w:before="120" w:after="360"/>
        <w:contextualSpacing/>
        <w:rPr>
          <w:rStyle w:val="a6"/>
          <w:rFonts w:ascii="Times New Roman" w:eastAsia="等线" w:hAnsi="Times New Roman" w:cs="Times New Roman"/>
          <w:sz w:val="20"/>
          <w:szCs w:val="20"/>
        </w:rPr>
      </w:pPr>
      <w:r w:rsidRPr="00243A82">
        <w:rPr>
          <w:rFonts w:ascii="Times New Roman" w:eastAsia="等线" w:hAnsi="Times New Roman" w:cs="Times New Roman"/>
          <w:noProof/>
          <w:sz w:val="20"/>
          <w:szCs w:val="20"/>
          <w:vertAlign w:val="superscript"/>
        </w:rPr>
        <w:t>*</w:t>
      </w:r>
      <w:r w:rsidRPr="00243A82">
        <w:rPr>
          <w:rFonts w:ascii="Times New Roman" w:eastAsia="等线" w:hAnsi="Times New Roman" w:cs="Times New Roman"/>
          <w:i/>
          <w:kern w:val="0"/>
          <w:sz w:val="20"/>
          <w:szCs w:val="20"/>
          <w:lang w:val="en-GB" w:eastAsia="de-DE"/>
        </w:rPr>
        <w:t xml:space="preserve"> Correspondence to</w:t>
      </w:r>
      <w:r w:rsidRPr="00243A82">
        <w:rPr>
          <w:rFonts w:ascii="Times New Roman" w:eastAsia="等线" w:hAnsi="Times New Roman" w:cs="Times New Roman"/>
          <w:kern w:val="0"/>
          <w:sz w:val="20"/>
          <w:szCs w:val="20"/>
          <w:lang w:val="en-GB" w:eastAsia="de-DE"/>
        </w:rPr>
        <w:t>:</w:t>
      </w:r>
      <w:r w:rsidRPr="00243A82">
        <w:rPr>
          <w:rFonts w:ascii="Times New Roman" w:eastAsia="等线" w:hAnsi="Times New Roman" w:cs="Times New Roman"/>
          <w:noProof/>
          <w:sz w:val="20"/>
          <w:szCs w:val="20"/>
        </w:rPr>
        <w:t xml:space="preserve"> </w:t>
      </w:r>
      <w:hyperlink r:id="rId7" w:history="1">
        <w:r w:rsidRPr="00B73F4B">
          <w:rPr>
            <w:rStyle w:val="a6"/>
            <w:rFonts w:ascii="Times New Roman" w:eastAsia="等线" w:hAnsi="Times New Roman" w:cs="Times New Roman"/>
            <w:sz w:val="20"/>
            <w:szCs w:val="20"/>
          </w:rPr>
          <w:t>zhw@mail.iap.ac.cn</w:t>
        </w:r>
      </w:hyperlink>
      <w:r w:rsidRPr="00243A82">
        <w:rPr>
          <w:rFonts w:ascii="Times New Roman" w:eastAsia="等线" w:hAnsi="Times New Roman" w:cs="Times New Roman"/>
          <w:noProof/>
          <w:sz w:val="20"/>
          <w:szCs w:val="20"/>
        </w:rPr>
        <w:t>;</w:t>
      </w:r>
      <w:r>
        <w:rPr>
          <w:rFonts w:ascii="Times New Roman" w:eastAsia="等线" w:hAnsi="Times New Roman" w:cs="Times New Roman" w:hint="eastAsia"/>
          <w:noProof/>
          <w:sz w:val="20"/>
          <w:szCs w:val="20"/>
        </w:rPr>
        <w:t xml:space="preserve"> </w:t>
      </w:r>
      <w:hyperlink r:id="rId8" w:history="1">
        <w:r>
          <w:rPr>
            <w:rStyle w:val="a6"/>
            <w:rFonts w:ascii="Times New Roman" w:eastAsia="等线" w:hAnsi="Times New Roman" w:cs="Times New Roman" w:hint="eastAsia"/>
            <w:noProof/>
            <w:sz w:val="20"/>
            <w:szCs w:val="20"/>
          </w:rPr>
          <w:t>caiqixiang</w:t>
        </w:r>
        <w:r w:rsidRPr="00243A82">
          <w:rPr>
            <w:rStyle w:val="a6"/>
            <w:rFonts w:ascii="Times New Roman" w:eastAsia="等线" w:hAnsi="Times New Roman" w:cs="Times New Roman"/>
            <w:noProof/>
            <w:sz w:val="20"/>
            <w:szCs w:val="20"/>
          </w:rPr>
          <w:t>@mail.iap.ac.cn</w:t>
        </w:r>
      </w:hyperlink>
    </w:p>
    <w:p w14:paraId="3E84851C" w14:textId="77777777" w:rsidR="003527CA" w:rsidRPr="00243A82" w:rsidRDefault="003527CA" w:rsidP="003527CA">
      <w:pPr>
        <w:spacing w:before="120" w:after="360"/>
        <w:contextualSpacing/>
        <w:rPr>
          <w:rFonts w:ascii="Times New Roman" w:eastAsia="等线" w:hAnsi="Times New Roman" w:cs="Times New Roman"/>
          <w:noProof/>
          <w:sz w:val="20"/>
          <w:szCs w:val="20"/>
        </w:rPr>
      </w:pPr>
    </w:p>
    <w:p w14:paraId="24EDB9E8" w14:textId="77777777" w:rsidR="003527CA" w:rsidRDefault="003527CA">
      <w:pPr>
        <w:rPr>
          <w:rFonts w:ascii="Times New Roman" w:hAnsi="Times New Roman" w:cs="Times New Roman"/>
        </w:rPr>
        <w:sectPr w:rsidR="003527CA">
          <w:pgSz w:w="11906" w:h="16838"/>
          <w:pgMar w:top="1440" w:right="1800" w:bottom="1440" w:left="1800" w:header="851" w:footer="992" w:gutter="0"/>
          <w:cols w:space="425"/>
          <w:docGrid w:type="lines" w:linePitch="312"/>
        </w:sectPr>
      </w:pPr>
    </w:p>
    <w:p w14:paraId="4934FEA8" w14:textId="1CBD4ADD" w:rsidR="00C27B6A" w:rsidRPr="00A676B5" w:rsidRDefault="00267E71">
      <w:pPr>
        <w:rPr>
          <w:rFonts w:ascii="Times New Roman" w:hAnsi="Times New Roman" w:cs="Times New Roman"/>
        </w:rPr>
      </w:pPr>
      <w:r w:rsidRPr="00A676B5">
        <w:rPr>
          <w:rFonts w:ascii="Times New Roman" w:hAnsi="Times New Roman" w:cs="Times New Roman"/>
          <w:noProof/>
        </w:rPr>
        <w:lastRenderedPageBreak/>
        <w:drawing>
          <wp:inline distT="0" distB="0" distL="0" distR="0" wp14:anchorId="6A90D689" wp14:editId="1E28AF29">
            <wp:extent cx="5274310" cy="324548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a:extLst>
                        <a:ext uri="{28A0092B-C50C-407E-A947-70E740481C1C}">
                          <a14:useLocalDpi xmlns:a14="http://schemas.microsoft.com/office/drawing/2010/main" val="0"/>
                        </a:ext>
                      </a:extLst>
                    </a:blip>
                    <a:stretch>
                      <a:fillRect/>
                    </a:stretch>
                  </pic:blipFill>
                  <pic:spPr>
                    <a:xfrm>
                      <a:off x="0" y="0"/>
                      <a:ext cx="5274310" cy="3245485"/>
                    </a:xfrm>
                    <a:prstGeom prst="rect">
                      <a:avLst/>
                    </a:prstGeom>
                  </pic:spPr>
                </pic:pic>
              </a:graphicData>
            </a:graphic>
          </wp:inline>
        </w:drawing>
      </w:r>
    </w:p>
    <w:p w14:paraId="4048109C" w14:textId="1CB31555" w:rsidR="00267E71" w:rsidRPr="00A676B5" w:rsidRDefault="00BA4805">
      <w:pPr>
        <w:rPr>
          <w:rFonts w:ascii="Times New Roman" w:hAnsi="Times New Roman" w:cs="Times New Roman"/>
          <w:sz w:val="18"/>
          <w:szCs w:val="18"/>
        </w:rPr>
      </w:pPr>
      <w:proofErr w:type="gramStart"/>
      <w:r>
        <w:rPr>
          <w:rFonts w:ascii="Times New Roman" w:hAnsi="Times New Roman" w:cs="Times New Roman"/>
          <w:sz w:val="18"/>
          <w:szCs w:val="18"/>
        </w:rPr>
        <w:t>Fig.</w:t>
      </w:r>
      <w:proofErr w:type="gramEnd"/>
      <w:r>
        <w:rPr>
          <w:rFonts w:ascii="Times New Roman" w:hAnsi="Times New Roman" w:cs="Times New Roman"/>
          <w:sz w:val="18"/>
          <w:szCs w:val="18"/>
        </w:rPr>
        <w:t xml:space="preserve"> </w:t>
      </w:r>
      <w:proofErr w:type="gramStart"/>
      <w:r>
        <w:rPr>
          <w:rFonts w:ascii="Times New Roman" w:hAnsi="Times New Roman" w:cs="Times New Roman"/>
          <w:sz w:val="18"/>
          <w:szCs w:val="18"/>
        </w:rPr>
        <w:t>S</w:t>
      </w:r>
      <w:r w:rsidR="00267E71" w:rsidRPr="00A676B5">
        <w:rPr>
          <w:rFonts w:ascii="Times New Roman" w:hAnsi="Times New Roman" w:cs="Times New Roman"/>
          <w:sz w:val="18"/>
          <w:szCs w:val="18"/>
        </w:rPr>
        <w:t>1 Trends of GHG and APs emissions during 2010-2018.</w:t>
      </w:r>
      <w:proofErr w:type="gramEnd"/>
      <w:r w:rsidR="00267E71" w:rsidRPr="00A676B5">
        <w:rPr>
          <w:rFonts w:ascii="Times New Roman" w:hAnsi="Times New Roman" w:cs="Times New Roman"/>
          <w:sz w:val="18"/>
          <w:szCs w:val="18"/>
        </w:rPr>
        <w:t xml:space="preserve"> Data are normalized by dividing the value of each year by their corresponding value</w:t>
      </w:r>
      <w:r w:rsidR="008728BD">
        <w:rPr>
          <w:rFonts w:ascii="Times New Roman" w:hAnsi="Times New Roman" w:cs="Times New Roman" w:hint="eastAsia"/>
          <w:sz w:val="18"/>
          <w:szCs w:val="18"/>
        </w:rPr>
        <w:t>s</w:t>
      </w:r>
      <w:r w:rsidR="00267E71" w:rsidRPr="00A676B5">
        <w:rPr>
          <w:rFonts w:ascii="Times New Roman" w:hAnsi="Times New Roman" w:cs="Times New Roman"/>
          <w:sz w:val="18"/>
          <w:szCs w:val="18"/>
        </w:rPr>
        <w:t xml:space="preserve"> in 2010.</w:t>
      </w:r>
    </w:p>
    <w:p w14:paraId="47A124F2" w14:textId="0C13302F" w:rsidR="00267E71" w:rsidRPr="000E6D32" w:rsidRDefault="00267E71">
      <w:pPr>
        <w:rPr>
          <w:rFonts w:ascii="Times New Roman" w:hAnsi="Times New Roman" w:cs="Times New Roman"/>
        </w:rPr>
      </w:pPr>
    </w:p>
    <w:p w14:paraId="572C2D80" w14:textId="750E51CC" w:rsidR="00267E71" w:rsidRPr="00A676B5" w:rsidRDefault="00267E71">
      <w:pPr>
        <w:rPr>
          <w:rFonts w:ascii="Times New Roman" w:hAnsi="Times New Roman" w:cs="Times New Roman"/>
        </w:rPr>
      </w:pPr>
      <w:r w:rsidRPr="00A676B5">
        <w:rPr>
          <w:rFonts w:ascii="Times New Roman" w:hAnsi="Times New Roman" w:cs="Times New Roman"/>
          <w:noProof/>
        </w:rPr>
        <w:drawing>
          <wp:inline distT="0" distB="0" distL="0" distR="0" wp14:anchorId="5A72E984" wp14:editId="63920D1F">
            <wp:extent cx="5274310" cy="275526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a:stretch>
                      <a:fillRect/>
                    </a:stretch>
                  </pic:blipFill>
                  <pic:spPr>
                    <a:xfrm>
                      <a:off x="0" y="0"/>
                      <a:ext cx="5274310" cy="2755265"/>
                    </a:xfrm>
                    <a:prstGeom prst="rect">
                      <a:avLst/>
                    </a:prstGeom>
                  </pic:spPr>
                </pic:pic>
              </a:graphicData>
            </a:graphic>
          </wp:inline>
        </w:drawing>
      </w:r>
    </w:p>
    <w:p w14:paraId="416502C2" w14:textId="1D460F56" w:rsidR="00267E71" w:rsidRPr="00A676B5" w:rsidRDefault="00BA4805">
      <w:pPr>
        <w:rPr>
          <w:rFonts w:ascii="Times New Roman" w:hAnsi="Times New Roman" w:cs="Times New Roman"/>
          <w:sz w:val="18"/>
          <w:szCs w:val="18"/>
        </w:rPr>
      </w:pPr>
      <w:proofErr w:type="gramStart"/>
      <w:r>
        <w:rPr>
          <w:rFonts w:ascii="Times New Roman" w:hAnsi="Times New Roman" w:cs="Times New Roman"/>
          <w:sz w:val="18"/>
          <w:szCs w:val="18"/>
        </w:rPr>
        <w:t>Fig.</w:t>
      </w:r>
      <w:proofErr w:type="gramEnd"/>
      <w:r>
        <w:rPr>
          <w:rFonts w:ascii="Times New Roman" w:hAnsi="Times New Roman" w:cs="Times New Roman"/>
          <w:sz w:val="18"/>
          <w:szCs w:val="18"/>
        </w:rPr>
        <w:t xml:space="preserve"> </w:t>
      </w:r>
      <w:proofErr w:type="gramStart"/>
      <w:r>
        <w:rPr>
          <w:rFonts w:ascii="Times New Roman" w:hAnsi="Times New Roman" w:cs="Times New Roman"/>
          <w:sz w:val="18"/>
          <w:szCs w:val="18"/>
        </w:rPr>
        <w:t>S</w:t>
      </w:r>
      <w:r w:rsidR="000E6D32">
        <w:rPr>
          <w:rFonts w:ascii="Times New Roman" w:hAnsi="Times New Roman" w:cs="Times New Roman"/>
          <w:sz w:val="18"/>
          <w:szCs w:val="18"/>
        </w:rPr>
        <w:t>2</w:t>
      </w:r>
      <w:r w:rsidR="00F17196" w:rsidRPr="00A676B5">
        <w:rPr>
          <w:rFonts w:ascii="Times New Roman" w:hAnsi="Times New Roman" w:cs="Times New Roman"/>
          <w:sz w:val="18"/>
          <w:szCs w:val="18"/>
        </w:rPr>
        <w:t xml:space="preserve"> </w:t>
      </w:r>
      <w:proofErr w:type="spellStart"/>
      <w:r w:rsidR="00F17196" w:rsidRPr="00A676B5">
        <w:rPr>
          <w:rFonts w:ascii="Times New Roman" w:hAnsi="Times New Roman" w:cs="Times New Roman"/>
          <w:sz w:val="18"/>
          <w:szCs w:val="18"/>
        </w:rPr>
        <w:t>Sectoral</w:t>
      </w:r>
      <w:proofErr w:type="spellEnd"/>
      <w:r w:rsidR="00F17196" w:rsidRPr="00A676B5">
        <w:rPr>
          <w:rFonts w:ascii="Times New Roman" w:hAnsi="Times New Roman" w:cs="Times New Roman"/>
          <w:sz w:val="18"/>
          <w:szCs w:val="18"/>
        </w:rPr>
        <w:t xml:space="preserve"> contribution</w:t>
      </w:r>
      <w:r w:rsidR="008728BD">
        <w:rPr>
          <w:rFonts w:ascii="Times New Roman" w:hAnsi="Times New Roman" w:cs="Times New Roman" w:hint="eastAsia"/>
          <w:sz w:val="18"/>
          <w:szCs w:val="18"/>
        </w:rPr>
        <w:t>s</w:t>
      </w:r>
      <w:r w:rsidR="00F17196" w:rsidRPr="00A676B5">
        <w:rPr>
          <w:rFonts w:ascii="Times New Roman" w:hAnsi="Times New Roman" w:cs="Times New Roman"/>
          <w:sz w:val="18"/>
          <w:szCs w:val="18"/>
        </w:rPr>
        <w:t xml:space="preserve"> to China’s GHG and APs emissions and their variations</w:t>
      </w:r>
      <w:r w:rsidR="0073206E" w:rsidRPr="00A676B5">
        <w:rPr>
          <w:rFonts w:ascii="Times New Roman" w:hAnsi="Times New Roman" w:cs="Times New Roman"/>
          <w:sz w:val="18"/>
          <w:szCs w:val="18"/>
        </w:rPr>
        <w:t xml:space="preserve"> during 1980-2017</w:t>
      </w:r>
      <w:r w:rsidR="00F17196" w:rsidRPr="00A676B5">
        <w:rPr>
          <w:rFonts w:ascii="Times New Roman" w:hAnsi="Times New Roman" w:cs="Times New Roman"/>
          <w:sz w:val="18"/>
          <w:szCs w:val="18"/>
        </w:rPr>
        <w:t>.</w:t>
      </w:r>
      <w:proofErr w:type="gramEnd"/>
    </w:p>
    <w:p w14:paraId="74BBEF21" w14:textId="71313AC3" w:rsidR="00267E71" w:rsidRPr="00A676B5" w:rsidRDefault="00267E71">
      <w:pPr>
        <w:rPr>
          <w:rFonts w:ascii="Times New Roman" w:hAnsi="Times New Roman" w:cs="Times New Roman"/>
        </w:rPr>
      </w:pPr>
      <w:r w:rsidRPr="00A676B5">
        <w:rPr>
          <w:rFonts w:ascii="Times New Roman" w:hAnsi="Times New Roman" w:cs="Times New Roman"/>
          <w:noProof/>
        </w:rPr>
        <w:lastRenderedPageBreak/>
        <w:drawing>
          <wp:inline distT="0" distB="0" distL="0" distR="0" wp14:anchorId="52D5171F" wp14:editId="2901D499">
            <wp:extent cx="5274310" cy="391985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a:stretch>
                      <a:fillRect/>
                    </a:stretch>
                  </pic:blipFill>
                  <pic:spPr>
                    <a:xfrm>
                      <a:off x="0" y="0"/>
                      <a:ext cx="5274310" cy="3919855"/>
                    </a:xfrm>
                    <a:prstGeom prst="rect">
                      <a:avLst/>
                    </a:prstGeom>
                  </pic:spPr>
                </pic:pic>
              </a:graphicData>
            </a:graphic>
          </wp:inline>
        </w:drawing>
      </w:r>
    </w:p>
    <w:p w14:paraId="7CD95414" w14:textId="23C70539" w:rsidR="00267E71" w:rsidRPr="00A676B5" w:rsidRDefault="00BA4805">
      <w:pPr>
        <w:rPr>
          <w:rFonts w:ascii="Times New Roman" w:hAnsi="Times New Roman" w:cs="Times New Roman"/>
          <w:sz w:val="18"/>
          <w:szCs w:val="18"/>
        </w:rPr>
      </w:pPr>
      <w:proofErr w:type="gramStart"/>
      <w:r>
        <w:rPr>
          <w:rFonts w:ascii="Times New Roman" w:hAnsi="Times New Roman" w:cs="Times New Roman"/>
          <w:sz w:val="18"/>
          <w:szCs w:val="18"/>
        </w:rPr>
        <w:t>Fig.</w:t>
      </w:r>
      <w:proofErr w:type="gramEnd"/>
      <w:r>
        <w:rPr>
          <w:rFonts w:ascii="Times New Roman" w:hAnsi="Times New Roman" w:cs="Times New Roman"/>
          <w:sz w:val="18"/>
          <w:szCs w:val="18"/>
        </w:rPr>
        <w:t xml:space="preserve"> S</w:t>
      </w:r>
      <w:r w:rsidR="00F17196" w:rsidRPr="00A676B5">
        <w:rPr>
          <w:rFonts w:ascii="Times New Roman" w:hAnsi="Times New Roman" w:cs="Times New Roman"/>
          <w:sz w:val="18"/>
          <w:szCs w:val="18"/>
        </w:rPr>
        <w:t xml:space="preserve">3 </w:t>
      </w:r>
      <w:proofErr w:type="gramStart"/>
      <w:r w:rsidR="0073206E" w:rsidRPr="00A676B5">
        <w:rPr>
          <w:rFonts w:ascii="Times New Roman" w:hAnsi="Times New Roman" w:cs="Times New Roman"/>
          <w:sz w:val="18"/>
          <w:szCs w:val="18"/>
        </w:rPr>
        <w:t>The</w:t>
      </w:r>
      <w:proofErr w:type="gramEnd"/>
      <w:r w:rsidR="0073206E" w:rsidRPr="00A676B5">
        <w:rPr>
          <w:rFonts w:ascii="Times New Roman" w:hAnsi="Times New Roman" w:cs="Times New Roman"/>
          <w:sz w:val="18"/>
          <w:szCs w:val="18"/>
        </w:rPr>
        <w:t xml:space="preserve"> relationship</w:t>
      </w:r>
      <w:r w:rsidR="008728BD">
        <w:rPr>
          <w:rFonts w:ascii="Times New Roman" w:hAnsi="Times New Roman" w:cs="Times New Roman" w:hint="eastAsia"/>
          <w:sz w:val="18"/>
          <w:szCs w:val="18"/>
        </w:rPr>
        <w:t>s</w:t>
      </w:r>
      <w:r w:rsidR="0073206E" w:rsidRPr="00A676B5">
        <w:rPr>
          <w:rFonts w:ascii="Times New Roman" w:hAnsi="Times New Roman" w:cs="Times New Roman"/>
          <w:sz w:val="18"/>
          <w:szCs w:val="18"/>
        </w:rPr>
        <w:t xml:space="preserve"> between CO</w:t>
      </w:r>
      <w:r w:rsidR="0073206E" w:rsidRPr="00A676B5">
        <w:rPr>
          <w:rFonts w:ascii="Times New Roman" w:hAnsi="Times New Roman" w:cs="Times New Roman"/>
          <w:sz w:val="18"/>
          <w:szCs w:val="18"/>
          <w:vertAlign w:val="subscript"/>
        </w:rPr>
        <w:t>2</w:t>
      </w:r>
      <w:r w:rsidR="0073206E" w:rsidRPr="00A676B5">
        <w:rPr>
          <w:rFonts w:ascii="Times New Roman" w:hAnsi="Times New Roman" w:cs="Times New Roman"/>
          <w:sz w:val="18"/>
          <w:szCs w:val="18"/>
        </w:rPr>
        <w:t xml:space="preserve"> and APs emissions in the top 5% high-emitting grids during 2010-2015.</w:t>
      </w:r>
    </w:p>
    <w:p w14:paraId="7FAEDDE5" w14:textId="7878E2FD" w:rsidR="00267E71" w:rsidRPr="00A676B5" w:rsidRDefault="00267E71" w:rsidP="00BA3F33">
      <w:pPr>
        <w:jc w:val="center"/>
        <w:rPr>
          <w:rFonts w:ascii="Times New Roman" w:hAnsi="Times New Roman" w:cs="Times New Roman"/>
        </w:rPr>
      </w:pPr>
      <w:r w:rsidRPr="00A676B5">
        <w:rPr>
          <w:rFonts w:ascii="Times New Roman" w:hAnsi="Times New Roman" w:cs="Times New Roman"/>
          <w:noProof/>
        </w:rPr>
        <w:lastRenderedPageBreak/>
        <w:drawing>
          <wp:inline distT="0" distB="0" distL="0" distR="0" wp14:anchorId="6AC5CE58" wp14:editId="232C6058">
            <wp:extent cx="3895951" cy="5843926"/>
            <wp:effectExtent l="0" t="0" r="952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a:stretch>
                      <a:fillRect/>
                    </a:stretch>
                  </pic:blipFill>
                  <pic:spPr>
                    <a:xfrm>
                      <a:off x="0" y="0"/>
                      <a:ext cx="3899370" cy="5849055"/>
                    </a:xfrm>
                    <a:prstGeom prst="rect">
                      <a:avLst/>
                    </a:prstGeom>
                  </pic:spPr>
                </pic:pic>
              </a:graphicData>
            </a:graphic>
          </wp:inline>
        </w:drawing>
      </w:r>
    </w:p>
    <w:p w14:paraId="50A8F324" w14:textId="2BA8438E" w:rsidR="00BA3F33" w:rsidRPr="00A676B5" w:rsidRDefault="00BA4805" w:rsidP="00BA3F33">
      <w:pPr>
        <w:jc w:val="left"/>
        <w:rPr>
          <w:rFonts w:ascii="Times New Roman" w:hAnsi="Times New Roman" w:cs="Times New Roman"/>
          <w:noProof/>
          <w:sz w:val="18"/>
          <w:szCs w:val="18"/>
        </w:rPr>
      </w:pPr>
      <w:proofErr w:type="gramStart"/>
      <w:r>
        <w:rPr>
          <w:rFonts w:ascii="Times New Roman" w:hAnsi="Times New Roman" w:cs="Times New Roman"/>
          <w:sz w:val="18"/>
          <w:szCs w:val="18"/>
        </w:rPr>
        <w:t>Fig.</w:t>
      </w:r>
      <w:proofErr w:type="gramEnd"/>
      <w:r>
        <w:rPr>
          <w:rFonts w:ascii="Times New Roman" w:hAnsi="Times New Roman" w:cs="Times New Roman"/>
          <w:sz w:val="18"/>
          <w:szCs w:val="18"/>
        </w:rPr>
        <w:t xml:space="preserve"> </w:t>
      </w:r>
      <w:proofErr w:type="gramStart"/>
      <w:r>
        <w:rPr>
          <w:rFonts w:ascii="Times New Roman" w:hAnsi="Times New Roman" w:cs="Times New Roman"/>
          <w:sz w:val="18"/>
          <w:szCs w:val="18"/>
        </w:rPr>
        <w:t>S</w:t>
      </w:r>
      <w:r w:rsidR="000E6D32">
        <w:rPr>
          <w:rFonts w:ascii="Times New Roman" w:hAnsi="Times New Roman" w:cs="Times New Roman"/>
          <w:sz w:val="18"/>
          <w:szCs w:val="18"/>
        </w:rPr>
        <w:t>4</w:t>
      </w:r>
      <w:r w:rsidR="00BA3F33" w:rsidRPr="00A676B5">
        <w:rPr>
          <w:rFonts w:ascii="Times New Roman" w:hAnsi="Times New Roman" w:cs="Times New Roman"/>
          <w:noProof/>
          <w:sz w:val="18"/>
          <w:szCs w:val="18"/>
        </w:rPr>
        <w:t xml:space="preserve"> The relationships of changes in CO</w:t>
      </w:r>
      <w:r w:rsidR="00BA3F33" w:rsidRPr="00A676B5">
        <w:rPr>
          <w:rFonts w:ascii="Times New Roman" w:hAnsi="Times New Roman" w:cs="Times New Roman"/>
          <w:noProof/>
          <w:sz w:val="18"/>
          <w:szCs w:val="18"/>
          <w:vertAlign w:val="subscript"/>
        </w:rPr>
        <w:t>2</w:t>
      </w:r>
      <w:r w:rsidR="00BA3F33" w:rsidRPr="00A676B5">
        <w:rPr>
          <w:rFonts w:ascii="Times New Roman" w:hAnsi="Times New Roman" w:cs="Times New Roman"/>
          <w:noProof/>
          <w:sz w:val="18"/>
          <w:szCs w:val="18"/>
        </w:rPr>
        <w:t xml:space="preserve"> and APs emissions over time among inventories during 2000-2009.</w:t>
      </w:r>
      <w:proofErr w:type="gramEnd"/>
      <w:r w:rsidR="00BA3F33" w:rsidRPr="00A676B5">
        <w:rPr>
          <w:rFonts w:ascii="Times New Roman" w:hAnsi="Times New Roman" w:cs="Times New Roman"/>
          <w:noProof/>
          <w:sz w:val="18"/>
          <w:szCs w:val="18"/>
        </w:rPr>
        <w:t xml:space="preserve"> The numbers represent the slopes of linearly regression and italic numbers indicate statistically significant (</w:t>
      </w:r>
      <w:r w:rsidR="00BA3F33" w:rsidRPr="00A676B5">
        <w:rPr>
          <w:rFonts w:ascii="Times New Roman" w:hAnsi="Times New Roman" w:cs="Times New Roman"/>
          <w:i/>
          <w:iCs/>
          <w:noProof/>
          <w:sz w:val="18"/>
          <w:szCs w:val="18"/>
        </w:rPr>
        <w:t>P</w:t>
      </w:r>
      <w:r w:rsidR="00BA3F33" w:rsidRPr="00A676B5">
        <w:rPr>
          <w:rFonts w:ascii="Times New Roman" w:hAnsi="Times New Roman" w:cs="Times New Roman"/>
          <w:noProof/>
          <w:sz w:val="18"/>
          <w:szCs w:val="18"/>
        </w:rPr>
        <w:t>&lt; 0.05).</w:t>
      </w:r>
    </w:p>
    <w:p w14:paraId="6FD26F3C" w14:textId="34633838" w:rsidR="00104EBD" w:rsidRPr="00A676B5" w:rsidRDefault="00104EBD" w:rsidP="00104EBD">
      <w:pPr>
        <w:jc w:val="center"/>
        <w:rPr>
          <w:rFonts w:ascii="Times New Roman" w:hAnsi="Times New Roman" w:cs="Times New Roman"/>
          <w:noProof/>
          <w:szCs w:val="21"/>
        </w:rPr>
      </w:pPr>
      <w:r w:rsidRPr="00A676B5">
        <w:rPr>
          <w:rFonts w:ascii="Times New Roman" w:hAnsi="Times New Roman" w:cs="Times New Roman"/>
          <w:noProof/>
        </w:rPr>
        <w:drawing>
          <wp:inline distT="0" distB="0" distL="0" distR="0" wp14:anchorId="5D707BF5" wp14:editId="6B2560EB">
            <wp:extent cx="4872941" cy="1950941"/>
            <wp:effectExtent l="0" t="0" r="4445" b="0"/>
            <wp:docPr id="5" name="图片 5" descr="C:\Users\ADMINI~1\AppData\Local\Temp\WeChat Files\7e692fc87749bd5f247f36687da2f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7e692fc87749bd5f247f36687da2ffa.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73202" cy="1951046"/>
                    </a:xfrm>
                    <a:prstGeom prst="rect">
                      <a:avLst/>
                    </a:prstGeom>
                    <a:noFill/>
                    <a:ln>
                      <a:noFill/>
                    </a:ln>
                  </pic:spPr>
                </pic:pic>
              </a:graphicData>
            </a:graphic>
          </wp:inline>
        </w:drawing>
      </w:r>
    </w:p>
    <w:p w14:paraId="2F07033C" w14:textId="06A81FC9" w:rsidR="00104EBD" w:rsidRPr="00A676B5" w:rsidRDefault="00BA4805" w:rsidP="00104EBD">
      <w:pPr>
        <w:rPr>
          <w:rFonts w:ascii="Times New Roman" w:hAnsi="Times New Roman" w:cs="Times New Roman"/>
          <w:sz w:val="18"/>
          <w:szCs w:val="18"/>
        </w:rPr>
      </w:pPr>
      <w:proofErr w:type="gramStart"/>
      <w:r>
        <w:rPr>
          <w:rFonts w:ascii="Times New Roman" w:hAnsi="Times New Roman" w:cs="Times New Roman"/>
          <w:sz w:val="18"/>
          <w:szCs w:val="18"/>
        </w:rPr>
        <w:t>Fig.</w:t>
      </w:r>
      <w:proofErr w:type="gramEnd"/>
      <w:r>
        <w:rPr>
          <w:rFonts w:ascii="Times New Roman" w:hAnsi="Times New Roman" w:cs="Times New Roman"/>
          <w:sz w:val="18"/>
          <w:szCs w:val="18"/>
        </w:rPr>
        <w:t xml:space="preserve"> S</w:t>
      </w:r>
      <w:r w:rsidR="00104EBD" w:rsidRPr="00A676B5">
        <w:rPr>
          <w:rFonts w:ascii="Times New Roman" w:hAnsi="Times New Roman" w:cs="Times New Roman"/>
          <w:sz w:val="18"/>
          <w:szCs w:val="18"/>
        </w:rPr>
        <w:t xml:space="preserve">5 Boxplots of the GHGs and APs emissions </w:t>
      </w:r>
      <w:r w:rsidR="008728BD">
        <w:rPr>
          <w:rFonts w:ascii="Times New Roman" w:hAnsi="Times New Roman" w:cs="Times New Roman" w:hint="eastAsia"/>
          <w:sz w:val="18"/>
          <w:szCs w:val="18"/>
        </w:rPr>
        <w:t>for all</w:t>
      </w:r>
      <w:r w:rsidR="00104EBD" w:rsidRPr="00A676B5">
        <w:rPr>
          <w:rFonts w:ascii="Times New Roman" w:hAnsi="Times New Roman" w:cs="Times New Roman"/>
          <w:sz w:val="18"/>
          <w:szCs w:val="18"/>
        </w:rPr>
        <w:t xml:space="preserve"> grid</w:t>
      </w:r>
      <w:r w:rsidR="008728BD">
        <w:rPr>
          <w:rFonts w:ascii="Times New Roman" w:hAnsi="Times New Roman" w:cs="Times New Roman" w:hint="eastAsia"/>
          <w:sz w:val="18"/>
          <w:szCs w:val="18"/>
        </w:rPr>
        <w:t xml:space="preserve"> </w:t>
      </w:r>
      <w:r w:rsidR="00104EBD" w:rsidRPr="00A676B5">
        <w:rPr>
          <w:rFonts w:ascii="Times New Roman" w:hAnsi="Times New Roman" w:cs="Times New Roman"/>
          <w:sz w:val="18"/>
          <w:szCs w:val="18"/>
        </w:rPr>
        <w:t>cell</w:t>
      </w:r>
      <w:r w:rsidR="008728BD">
        <w:rPr>
          <w:rFonts w:ascii="Times New Roman" w:hAnsi="Times New Roman" w:cs="Times New Roman" w:hint="eastAsia"/>
          <w:sz w:val="18"/>
          <w:szCs w:val="18"/>
        </w:rPr>
        <w:t>s</w:t>
      </w:r>
      <w:r w:rsidR="00104EBD" w:rsidRPr="00A676B5">
        <w:rPr>
          <w:rFonts w:ascii="Times New Roman" w:hAnsi="Times New Roman" w:cs="Times New Roman"/>
          <w:sz w:val="18"/>
          <w:szCs w:val="18"/>
        </w:rPr>
        <w:t xml:space="preserve"> during 2010-2015.</w:t>
      </w:r>
    </w:p>
    <w:tbl>
      <w:tblPr>
        <w:tblW w:w="9373" w:type="dxa"/>
        <w:tblInd w:w="93" w:type="dxa"/>
        <w:tblLook w:val="04A0" w:firstRow="1" w:lastRow="0" w:firstColumn="1" w:lastColumn="0" w:noHBand="0" w:noVBand="1"/>
      </w:tblPr>
      <w:tblGrid>
        <w:gridCol w:w="630"/>
        <w:gridCol w:w="456"/>
        <w:gridCol w:w="546"/>
        <w:gridCol w:w="443"/>
        <w:gridCol w:w="666"/>
        <w:gridCol w:w="606"/>
        <w:gridCol w:w="486"/>
        <w:gridCol w:w="663"/>
        <w:gridCol w:w="450"/>
        <w:gridCol w:w="666"/>
        <w:gridCol w:w="606"/>
        <w:gridCol w:w="606"/>
        <w:gridCol w:w="606"/>
        <w:gridCol w:w="1943"/>
      </w:tblGrid>
      <w:tr w:rsidR="00104EBD" w:rsidRPr="00104EBD" w14:paraId="0B0B552C" w14:textId="77777777" w:rsidTr="003325A0">
        <w:trPr>
          <w:trHeight w:val="460"/>
        </w:trPr>
        <w:tc>
          <w:tcPr>
            <w:tcW w:w="9373" w:type="dxa"/>
            <w:gridSpan w:val="14"/>
            <w:tcBorders>
              <w:top w:val="nil"/>
              <w:left w:val="nil"/>
              <w:bottom w:val="single" w:sz="4" w:space="0" w:color="auto"/>
              <w:right w:val="nil"/>
            </w:tcBorders>
            <w:shd w:val="clear" w:color="auto" w:fill="auto"/>
            <w:noWrap/>
            <w:vAlign w:val="center"/>
            <w:hideMark/>
          </w:tcPr>
          <w:p w14:paraId="054389D5" w14:textId="298479BF" w:rsidR="00104EBD" w:rsidRPr="00104EBD" w:rsidRDefault="00104EBD" w:rsidP="003325A0">
            <w:pPr>
              <w:widowControl/>
              <w:jc w:val="left"/>
              <w:rPr>
                <w:rFonts w:ascii="Times New Roman" w:eastAsia="宋体" w:hAnsi="Times New Roman" w:cs="Times New Roman"/>
                <w:color w:val="000000"/>
                <w:kern w:val="0"/>
                <w:sz w:val="18"/>
                <w:szCs w:val="18"/>
              </w:rPr>
            </w:pPr>
            <w:r w:rsidRPr="00104EBD">
              <w:rPr>
                <w:rFonts w:ascii="Times New Roman" w:eastAsia="宋体" w:hAnsi="Times New Roman" w:cs="Times New Roman"/>
                <w:color w:val="000000"/>
                <w:kern w:val="0"/>
                <w:sz w:val="18"/>
                <w:szCs w:val="18"/>
              </w:rPr>
              <w:lastRenderedPageBreak/>
              <w:t xml:space="preserve">Table S1 </w:t>
            </w:r>
            <w:r w:rsidR="003325A0">
              <w:rPr>
                <w:rFonts w:ascii="Times New Roman" w:eastAsia="宋体" w:hAnsi="Times New Roman" w:cs="Times New Roman" w:hint="eastAsia"/>
                <w:color w:val="000000"/>
                <w:kern w:val="0"/>
                <w:sz w:val="18"/>
                <w:szCs w:val="18"/>
              </w:rPr>
              <w:t>Differences and u</w:t>
            </w:r>
            <w:r w:rsidRPr="00104EBD">
              <w:rPr>
                <w:rFonts w:ascii="Times New Roman" w:eastAsia="宋体" w:hAnsi="Times New Roman" w:cs="Times New Roman"/>
                <w:color w:val="000000"/>
                <w:kern w:val="0"/>
                <w:sz w:val="18"/>
                <w:szCs w:val="18"/>
              </w:rPr>
              <w:t>ncertainties (%) of GHGs and APs emissions in China</w:t>
            </w:r>
            <w:r w:rsidR="003325A0">
              <w:rPr>
                <w:rFonts w:ascii="Times New Roman" w:eastAsia="宋体" w:hAnsi="Times New Roman" w:cs="Times New Roman" w:hint="eastAsia"/>
                <w:color w:val="000000"/>
                <w:kern w:val="0"/>
                <w:sz w:val="18"/>
                <w:szCs w:val="18"/>
              </w:rPr>
              <w:t>*</w:t>
            </w:r>
            <w:r w:rsidRPr="00104EBD">
              <w:rPr>
                <w:rFonts w:ascii="Times New Roman" w:eastAsia="宋体" w:hAnsi="Times New Roman" w:cs="Times New Roman"/>
                <w:color w:val="000000"/>
                <w:kern w:val="0"/>
                <w:sz w:val="18"/>
                <w:szCs w:val="18"/>
              </w:rPr>
              <w:t>.</w:t>
            </w:r>
          </w:p>
        </w:tc>
      </w:tr>
      <w:tr w:rsidR="00104EBD" w:rsidRPr="00104EBD" w14:paraId="3F60D4F7" w14:textId="77777777" w:rsidTr="003325A0">
        <w:trPr>
          <w:trHeight w:val="320"/>
        </w:trPr>
        <w:tc>
          <w:tcPr>
            <w:tcW w:w="630" w:type="dxa"/>
            <w:tcBorders>
              <w:top w:val="nil"/>
              <w:left w:val="nil"/>
              <w:bottom w:val="single" w:sz="4" w:space="0" w:color="auto"/>
              <w:right w:val="nil"/>
            </w:tcBorders>
            <w:shd w:val="clear" w:color="auto" w:fill="auto"/>
            <w:noWrap/>
            <w:vAlign w:val="center"/>
            <w:hideMark/>
          </w:tcPr>
          <w:p w14:paraId="4CCF3394"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Data</w:t>
            </w:r>
          </w:p>
        </w:tc>
        <w:tc>
          <w:tcPr>
            <w:tcW w:w="456" w:type="dxa"/>
            <w:tcBorders>
              <w:top w:val="nil"/>
              <w:left w:val="nil"/>
              <w:bottom w:val="single" w:sz="4" w:space="0" w:color="auto"/>
              <w:right w:val="nil"/>
            </w:tcBorders>
            <w:shd w:val="clear" w:color="auto" w:fill="auto"/>
            <w:noWrap/>
            <w:vAlign w:val="center"/>
            <w:hideMark/>
          </w:tcPr>
          <w:p w14:paraId="43FA9041"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Year</w:t>
            </w:r>
          </w:p>
        </w:tc>
        <w:tc>
          <w:tcPr>
            <w:tcW w:w="546" w:type="dxa"/>
            <w:tcBorders>
              <w:top w:val="nil"/>
              <w:left w:val="nil"/>
              <w:bottom w:val="single" w:sz="4" w:space="0" w:color="auto"/>
              <w:right w:val="nil"/>
            </w:tcBorders>
            <w:shd w:val="clear" w:color="auto" w:fill="auto"/>
            <w:noWrap/>
            <w:vAlign w:val="center"/>
            <w:hideMark/>
          </w:tcPr>
          <w:p w14:paraId="7E7CDF22"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CO2</w:t>
            </w:r>
          </w:p>
        </w:tc>
        <w:tc>
          <w:tcPr>
            <w:tcW w:w="443" w:type="dxa"/>
            <w:tcBorders>
              <w:top w:val="nil"/>
              <w:left w:val="nil"/>
              <w:bottom w:val="single" w:sz="4" w:space="0" w:color="auto"/>
              <w:right w:val="nil"/>
            </w:tcBorders>
            <w:shd w:val="clear" w:color="auto" w:fill="auto"/>
            <w:noWrap/>
            <w:vAlign w:val="center"/>
            <w:hideMark/>
          </w:tcPr>
          <w:p w14:paraId="17890D2C"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CH4</w:t>
            </w:r>
          </w:p>
        </w:tc>
        <w:tc>
          <w:tcPr>
            <w:tcW w:w="666" w:type="dxa"/>
            <w:tcBorders>
              <w:top w:val="nil"/>
              <w:left w:val="nil"/>
              <w:bottom w:val="single" w:sz="4" w:space="0" w:color="auto"/>
              <w:right w:val="nil"/>
            </w:tcBorders>
            <w:shd w:val="clear" w:color="auto" w:fill="auto"/>
            <w:noWrap/>
            <w:vAlign w:val="center"/>
            <w:hideMark/>
          </w:tcPr>
          <w:p w14:paraId="7FCB0129"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BC</w:t>
            </w:r>
          </w:p>
        </w:tc>
        <w:tc>
          <w:tcPr>
            <w:tcW w:w="606" w:type="dxa"/>
            <w:tcBorders>
              <w:top w:val="nil"/>
              <w:left w:val="nil"/>
              <w:bottom w:val="single" w:sz="4" w:space="0" w:color="auto"/>
              <w:right w:val="nil"/>
            </w:tcBorders>
            <w:shd w:val="clear" w:color="auto" w:fill="auto"/>
            <w:noWrap/>
            <w:vAlign w:val="center"/>
            <w:hideMark/>
          </w:tcPr>
          <w:p w14:paraId="29F87A3B"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CO</w:t>
            </w:r>
          </w:p>
        </w:tc>
        <w:tc>
          <w:tcPr>
            <w:tcW w:w="486" w:type="dxa"/>
            <w:tcBorders>
              <w:top w:val="nil"/>
              <w:left w:val="nil"/>
              <w:bottom w:val="single" w:sz="4" w:space="0" w:color="auto"/>
              <w:right w:val="nil"/>
            </w:tcBorders>
            <w:shd w:val="clear" w:color="auto" w:fill="auto"/>
            <w:noWrap/>
            <w:vAlign w:val="center"/>
            <w:hideMark/>
          </w:tcPr>
          <w:p w14:paraId="3C75F855"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NH3</w:t>
            </w:r>
          </w:p>
        </w:tc>
        <w:tc>
          <w:tcPr>
            <w:tcW w:w="663" w:type="dxa"/>
            <w:tcBorders>
              <w:top w:val="nil"/>
              <w:left w:val="nil"/>
              <w:bottom w:val="single" w:sz="4" w:space="0" w:color="auto"/>
              <w:right w:val="nil"/>
            </w:tcBorders>
            <w:shd w:val="clear" w:color="auto" w:fill="auto"/>
            <w:noWrap/>
            <w:vAlign w:val="center"/>
            <w:hideMark/>
          </w:tcPr>
          <w:p w14:paraId="14C4B8FC"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NMVOC</w:t>
            </w:r>
          </w:p>
        </w:tc>
        <w:tc>
          <w:tcPr>
            <w:tcW w:w="450" w:type="dxa"/>
            <w:tcBorders>
              <w:top w:val="nil"/>
              <w:left w:val="nil"/>
              <w:bottom w:val="single" w:sz="4" w:space="0" w:color="auto"/>
              <w:right w:val="nil"/>
            </w:tcBorders>
            <w:shd w:val="clear" w:color="auto" w:fill="auto"/>
            <w:noWrap/>
            <w:vAlign w:val="center"/>
            <w:hideMark/>
          </w:tcPr>
          <w:p w14:paraId="59F968CC" w14:textId="77777777" w:rsidR="00104EBD" w:rsidRPr="00104EBD" w:rsidRDefault="00104EBD" w:rsidP="00104EBD">
            <w:pPr>
              <w:widowControl/>
              <w:jc w:val="left"/>
              <w:rPr>
                <w:rFonts w:ascii="Times New Roman" w:eastAsia="宋体" w:hAnsi="Times New Roman" w:cs="Times New Roman"/>
                <w:color w:val="000000"/>
                <w:kern w:val="0"/>
                <w:sz w:val="12"/>
                <w:szCs w:val="12"/>
              </w:rPr>
            </w:pPr>
            <w:proofErr w:type="spellStart"/>
            <w:r w:rsidRPr="00104EBD">
              <w:rPr>
                <w:rFonts w:ascii="Times New Roman" w:eastAsia="宋体" w:hAnsi="Times New Roman" w:cs="Times New Roman"/>
                <w:color w:val="000000"/>
                <w:kern w:val="0"/>
                <w:sz w:val="12"/>
                <w:szCs w:val="12"/>
              </w:rPr>
              <w:t>NOx</w:t>
            </w:r>
            <w:proofErr w:type="spellEnd"/>
          </w:p>
        </w:tc>
        <w:tc>
          <w:tcPr>
            <w:tcW w:w="666" w:type="dxa"/>
            <w:tcBorders>
              <w:top w:val="nil"/>
              <w:left w:val="nil"/>
              <w:bottom w:val="single" w:sz="4" w:space="0" w:color="auto"/>
              <w:right w:val="nil"/>
            </w:tcBorders>
            <w:shd w:val="clear" w:color="auto" w:fill="auto"/>
            <w:noWrap/>
            <w:vAlign w:val="center"/>
            <w:hideMark/>
          </w:tcPr>
          <w:p w14:paraId="50363E5D"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OC</w:t>
            </w:r>
          </w:p>
        </w:tc>
        <w:tc>
          <w:tcPr>
            <w:tcW w:w="606" w:type="dxa"/>
            <w:tcBorders>
              <w:top w:val="nil"/>
              <w:left w:val="nil"/>
              <w:bottom w:val="single" w:sz="4" w:space="0" w:color="auto"/>
              <w:right w:val="nil"/>
            </w:tcBorders>
            <w:shd w:val="clear" w:color="auto" w:fill="auto"/>
            <w:noWrap/>
            <w:vAlign w:val="center"/>
            <w:hideMark/>
          </w:tcPr>
          <w:p w14:paraId="4C0350F9"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PM10</w:t>
            </w:r>
          </w:p>
        </w:tc>
        <w:tc>
          <w:tcPr>
            <w:tcW w:w="606" w:type="dxa"/>
            <w:tcBorders>
              <w:top w:val="nil"/>
              <w:left w:val="nil"/>
              <w:bottom w:val="single" w:sz="4" w:space="0" w:color="auto"/>
              <w:right w:val="nil"/>
            </w:tcBorders>
            <w:shd w:val="clear" w:color="auto" w:fill="auto"/>
            <w:noWrap/>
            <w:vAlign w:val="center"/>
            <w:hideMark/>
          </w:tcPr>
          <w:p w14:paraId="36463C78"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PM2.5</w:t>
            </w:r>
          </w:p>
        </w:tc>
        <w:tc>
          <w:tcPr>
            <w:tcW w:w="606" w:type="dxa"/>
            <w:tcBorders>
              <w:top w:val="nil"/>
              <w:left w:val="nil"/>
              <w:bottom w:val="single" w:sz="4" w:space="0" w:color="auto"/>
              <w:right w:val="nil"/>
            </w:tcBorders>
            <w:shd w:val="clear" w:color="auto" w:fill="auto"/>
            <w:noWrap/>
            <w:vAlign w:val="center"/>
            <w:hideMark/>
          </w:tcPr>
          <w:p w14:paraId="3F8AA388"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SO2</w:t>
            </w:r>
          </w:p>
        </w:tc>
        <w:tc>
          <w:tcPr>
            <w:tcW w:w="1943" w:type="dxa"/>
            <w:tcBorders>
              <w:top w:val="nil"/>
              <w:left w:val="nil"/>
              <w:bottom w:val="single" w:sz="4" w:space="0" w:color="auto"/>
              <w:right w:val="nil"/>
            </w:tcBorders>
            <w:shd w:val="clear" w:color="auto" w:fill="auto"/>
            <w:noWrap/>
            <w:vAlign w:val="center"/>
            <w:hideMark/>
          </w:tcPr>
          <w:p w14:paraId="44B06D60"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Reference</w:t>
            </w:r>
          </w:p>
        </w:tc>
      </w:tr>
      <w:tr w:rsidR="00104EBD" w:rsidRPr="00104EBD" w14:paraId="510A46C4" w14:textId="77777777" w:rsidTr="003325A0">
        <w:trPr>
          <w:trHeight w:val="390"/>
        </w:trPr>
        <w:tc>
          <w:tcPr>
            <w:tcW w:w="630" w:type="dxa"/>
            <w:tcBorders>
              <w:top w:val="nil"/>
              <w:left w:val="nil"/>
              <w:bottom w:val="nil"/>
              <w:right w:val="nil"/>
            </w:tcBorders>
            <w:shd w:val="clear" w:color="auto" w:fill="auto"/>
            <w:noWrap/>
            <w:vAlign w:val="center"/>
            <w:hideMark/>
          </w:tcPr>
          <w:p w14:paraId="00D6E073"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REAS</w:t>
            </w:r>
          </w:p>
        </w:tc>
        <w:tc>
          <w:tcPr>
            <w:tcW w:w="456" w:type="dxa"/>
            <w:tcBorders>
              <w:top w:val="nil"/>
              <w:left w:val="nil"/>
              <w:bottom w:val="nil"/>
              <w:right w:val="nil"/>
            </w:tcBorders>
            <w:shd w:val="clear" w:color="auto" w:fill="auto"/>
            <w:noWrap/>
            <w:vAlign w:val="center"/>
            <w:hideMark/>
          </w:tcPr>
          <w:p w14:paraId="4E6D51A6"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2015</w:t>
            </w:r>
          </w:p>
        </w:tc>
        <w:tc>
          <w:tcPr>
            <w:tcW w:w="546" w:type="dxa"/>
            <w:tcBorders>
              <w:top w:val="nil"/>
              <w:left w:val="nil"/>
              <w:bottom w:val="nil"/>
              <w:right w:val="nil"/>
            </w:tcBorders>
            <w:shd w:val="clear" w:color="auto" w:fill="auto"/>
            <w:noWrap/>
            <w:vAlign w:val="center"/>
            <w:hideMark/>
          </w:tcPr>
          <w:p w14:paraId="52E23E26"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±19</w:t>
            </w:r>
          </w:p>
        </w:tc>
        <w:tc>
          <w:tcPr>
            <w:tcW w:w="443" w:type="dxa"/>
            <w:tcBorders>
              <w:top w:val="nil"/>
              <w:left w:val="nil"/>
              <w:bottom w:val="nil"/>
              <w:right w:val="nil"/>
            </w:tcBorders>
            <w:shd w:val="clear" w:color="auto" w:fill="auto"/>
            <w:noWrap/>
            <w:vAlign w:val="center"/>
            <w:hideMark/>
          </w:tcPr>
          <w:p w14:paraId="4C770BE0"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66" w:type="dxa"/>
            <w:tcBorders>
              <w:top w:val="nil"/>
              <w:left w:val="nil"/>
              <w:bottom w:val="nil"/>
              <w:right w:val="nil"/>
            </w:tcBorders>
            <w:shd w:val="clear" w:color="auto" w:fill="auto"/>
            <w:noWrap/>
            <w:vAlign w:val="center"/>
            <w:hideMark/>
          </w:tcPr>
          <w:p w14:paraId="0E0F6293"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±111</w:t>
            </w:r>
          </w:p>
        </w:tc>
        <w:tc>
          <w:tcPr>
            <w:tcW w:w="606" w:type="dxa"/>
            <w:tcBorders>
              <w:top w:val="nil"/>
              <w:left w:val="nil"/>
              <w:bottom w:val="nil"/>
              <w:right w:val="nil"/>
            </w:tcBorders>
            <w:shd w:val="clear" w:color="auto" w:fill="auto"/>
            <w:noWrap/>
            <w:vAlign w:val="center"/>
            <w:hideMark/>
          </w:tcPr>
          <w:p w14:paraId="7F455ED7"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±73</w:t>
            </w:r>
          </w:p>
        </w:tc>
        <w:tc>
          <w:tcPr>
            <w:tcW w:w="486" w:type="dxa"/>
            <w:tcBorders>
              <w:top w:val="nil"/>
              <w:left w:val="nil"/>
              <w:bottom w:val="nil"/>
              <w:right w:val="nil"/>
            </w:tcBorders>
            <w:shd w:val="clear" w:color="auto" w:fill="auto"/>
            <w:noWrap/>
            <w:vAlign w:val="center"/>
            <w:hideMark/>
          </w:tcPr>
          <w:p w14:paraId="23545C36"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±82</w:t>
            </w:r>
          </w:p>
        </w:tc>
        <w:tc>
          <w:tcPr>
            <w:tcW w:w="663" w:type="dxa"/>
            <w:tcBorders>
              <w:top w:val="nil"/>
              <w:left w:val="nil"/>
              <w:bottom w:val="nil"/>
              <w:right w:val="nil"/>
            </w:tcBorders>
            <w:shd w:val="clear" w:color="auto" w:fill="auto"/>
            <w:noWrap/>
            <w:vAlign w:val="center"/>
            <w:hideMark/>
          </w:tcPr>
          <w:p w14:paraId="76625210"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±76</w:t>
            </w:r>
          </w:p>
        </w:tc>
        <w:tc>
          <w:tcPr>
            <w:tcW w:w="450" w:type="dxa"/>
            <w:tcBorders>
              <w:top w:val="nil"/>
              <w:left w:val="nil"/>
              <w:bottom w:val="nil"/>
              <w:right w:val="nil"/>
            </w:tcBorders>
            <w:shd w:val="clear" w:color="auto" w:fill="auto"/>
            <w:noWrap/>
            <w:vAlign w:val="center"/>
            <w:hideMark/>
          </w:tcPr>
          <w:p w14:paraId="34F336D6"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66" w:type="dxa"/>
            <w:tcBorders>
              <w:top w:val="nil"/>
              <w:left w:val="nil"/>
              <w:bottom w:val="nil"/>
              <w:right w:val="nil"/>
            </w:tcBorders>
            <w:shd w:val="clear" w:color="auto" w:fill="auto"/>
            <w:noWrap/>
            <w:vAlign w:val="center"/>
            <w:hideMark/>
          </w:tcPr>
          <w:p w14:paraId="718B6F5B"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±193</w:t>
            </w:r>
          </w:p>
        </w:tc>
        <w:tc>
          <w:tcPr>
            <w:tcW w:w="606" w:type="dxa"/>
            <w:tcBorders>
              <w:top w:val="nil"/>
              <w:left w:val="nil"/>
              <w:bottom w:val="nil"/>
              <w:right w:val="nil"/>
            </w:tcBorders>
            <w:shd w:val="clear" w:color="auto" w:fill="auto"/>
            <w:noWrap/>
            <w:vAlign w:val="center"/>
            <w:hideMark/>
          </w:tcPr>
          <w:p w14:paraId="0D3BD811"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±83</w:t>
            </w:r>
          </w:p>
        </w:tc>
        <w:tc>
          <w:tcPr>
            <w:tcW w:w="606" w:type="dxa"/>
            <w:tcBorders>
              <w:top w:val="nil"/>
              <w:left w:val="nil"/>
              <w:bottom w:val="nil"/>
              <w:right w:val="nil"/>
            </w:tcBorders>
            <w:shd w:val="clear" w:color="auto" w:fill="auto"/>
            <w:noWrap/>
            <w:vAlign w:val="center"/>
            <w:hideMark/>
          </w:tcPr>
          <w:p w14:paraId="4BDCCE21"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±94</w:t>
            </w:r>
          </w:p>
        </w:tc>
        <w:tc>
          <w:tcPr>
            <w:tcW w:w="606" w:type="dxa"/>
            <w:tcBorders>
              <w:top w:val="nil"/>
              <w:left w:val="nil"/>
              <w:bottom w:val="nil"/>
              <w:right w:val="nil"/>
            </w:tcBorders>
            <w:shd w:val="clear" w:color="auto" w:fill="auto"/>
            <w:noWrap/>
            <w:vAlign w:val="center"/>
            <w:hideMark/>
          </w:tcPr>
          <w:p w14:paraId="70DCAC8A"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±40</w:t>
            </w:r>
          </w:p>
        </w:tc>
        <w:tc>
          <w:tcPr>
            <w:tcW w:w="1943" w:type="dxa"/>
            <w:tcBorders>
              <w:top w:val="nil"/>
              <w:left w:val="nil"/>
              <w:bottom w:val="nil"/>
              <w:right w:val="nil"/>
            </w:tcBorders>
            <w:shd w:val="clear" w:color="auto" w:fill="auto"/>
            <w:noWrap/>
            <w:vAlign w:val="center"/>
            <w:hideMark/>
          </w:tcPr>
          <w:p w14:paraId="5CD42131" w14:textId="3C75C2D2" w:rsidR="00104EBD" w:rsidRPr="00104EBD" w:rsidRDefault="006A397B" w:rsidP="00400D1C">
            <w:pPr>
              <w:widowControl/>
              <w:jc w:val="left"/>
              <w:rPr>
                <w:rFonts w:ascii="Times New Roman" w:eastAsia="宋体" w:hAnsi="Times New Roman" w:cs="Times New Roman"/>
                <w:color w:val="000000"/>
                <w:kern w:val="0"/>
                <w:sz w:val="12"/>
                <w:szCs w:val="12"/>
              </w:rPr>
            </w:pPr>
            <w:r>
              <w:rPr>
                <w:rFonts w:ascii="Times New Roman" w:eastAsia="宋体" w:hAnsi="Times New Roman" w:cs="Times New Roman"/>
                <w:color w:val="000000"/>
                <w:kern w:val="0"/>
                <w:sz w:val="12"/>
                <w:szCs w:val="12"/>
              </w:rPr>
              <w:fldChar w:fldCharType="begin"/>
            </w:r>
            <w:r w:rsidR="00345F94">
              <w:rPr>
                <w:rFonts w:ascii="Times New Roman" w:eastAsia="宋体" w:hAnsi="Times New Roman" w:cs="Times New Roman"/>
                <w:color w:val="000000"/>
                <w:kern w:val="0"/>
                <w:sz w:val="12"/>
                <w:szCs w:val="12"/>
              </w:rPr>
              <w:instrText xml:space="preserve"> ADDIN EN.CITE &lt;EndNote&gt;&lt;Cite&gt;&lt;Author&gt;Kurokawa&lt;/Author&gt;&lt;Year&gt;2020&lt;/Year&gt;&lt;RecNum&gt;42&lt;/RecNum&gt;&lt;DisplayText&gt;[1]&lt;/DisplayText&gt;&lt;record&gt;&lt;rec-number&gt;42&lt;/rec-number&gt;&lt;foreign-keys&gt;&lt;key app="EN" db-id="xd2dprt5v2wa2tep9eevsae9zpxza0xsdfza"&gt;42&lt;/key&gt;&lt;/foreign-keys&gt;&lt;ref-type name="Journal Article"&gt;17&lt;/ref-type&gt;&lt;contributors&gt;&lt;authors&gt;&lt;author&gt;Kurokawa, Junichi&lt;/author&gt;&lt;author&gt;Ohara, Toshimasa&lt;/author&gt;&lt;/authors&gt;&lt;/contributors&gt;&lt;titles&gt;&lt;title&gt;Long-term historical trends in air pollutant emissions in Asia: Regional Emission inventory in ASia (REAS) version 3&lt;/title&gt;&lt;secondary-title&gt;Atmospheric Chemistry and Physics&lt;/secondary-title&gt;&lt;/titles&gt;&lt;periodical&gt;&lt;full-title&gt;Atmospheric Chemistry and Physics&lt;/full-title&gt;&lt;/periodical&gt;&lt;pages&gt;12761-12793&lt;/pages&gt;&lt;volume&gt;20&lt;/volume&gt;&lt;number&gt;21&lt;/number&gt;&lt;dates&gt;&lt;year&gt;2020&lt;/year&gt;&lt;/dates&gt;&lt;isbn&gt;1680-7316&lt;/isbn&gt;&lt;urls&gt;&lt;/urls&gt;&lt;/record&gt;&lt;/Cite&gt;&lt;/EndNote&gt;</w:instrText>
            </w:r>
            <w:r>
              <w:rPr>
                <w:rFonts w:ascii="Times New Roman" w:eastAsia="宋体" w:hAnsi="Times New Roman" w:cs="Times New Roman"/>
                <w:color w:val="000000"/>
                <w:kern w:val="0"/>
                <w:sz w:val="12"/>
                <w:szCs w:val="12"/>
              </w:rPr>
              <w:fldChar w:fldCharType="separate"/>
            </w:r>
            <w:r w:rsidR="00345F94">
              <w:rPr>
                <w:rFonts w:ascii="Times New Roman" w:eastAsia="宋体" w:hAnsi="Times New Roman" w:cs="Times New Roman"/>
                <w:noProof/>
                <w:color w:val="000000"/>
                <w:kern w:val="0"/>
                <w:sz w:val="12"/>
                <w:szCs w:val="12"/>
              </w:rPr>
              <w:t>[</w:t>
            </w:r>
            <w:hyperlink w:anchor="_ENREF_1" w:tooltip="Kurokawa, 2020 #42" w:history="1">
              <w:r w:rsidR="00400D1C">
                <w:rPr>
                  <w:rFonts w:ascii="Times New Roman" w:eastAsia="宋体" w:hAnsi="Times New Roman" w:cs="Times New Roman"/>
                  <w:noProof/>
                  <w:color w:val="000000"/>
                  <w:kern w:val="0"/>
                  <w:sz w:val="12"/>
                  <w:szCs w:val="12"/>
                </w:rPr>
                <w:t>1</w:t>
              </w:r>
            </w:hyperlink>
            <w:r w:rsidR="00345F94">
              <w:rPr>
                <w:rFonts w:ascii="Times New Roman" w:eastAsia="宋体" w:hAnsi="Times New Roman" w:cs="Times New Roman"/>
                <w:noProof/>
                <w:color w:val="000000"/>
                <w:kern w:val="0"/>
                <w:sz w:val="12"/>
                <w:szCs w:val="12"/>
              </w:rPr>
              <w:t>]</w:t>
            </w:r>
            <w:r>
              <w:rPr>
                <w:rFonts w:ascii="Times New Roman" w:eastAsia="宋体" w:hAnsi="Times New Roman" w:cs="Times New Roman"/>
                <w:color w:val="000000"/>
                <w:kern w:val="0"/>
                <w:sz w:val="12"/>
                <w:szCs w:val="12"/>
              </w:rPr>
              <w:fldChar w:fldCharType="end"/>
            </w:r>
          </w:p>
        </w:tc>
      </w:tr>
      <w:tr w:rsidR="00104EBD" w:rsidRPr="00104EBD" w14:paraId="5499AF2D" w14:textId="77777777" w:rsidTr="003325A0">
        <w:trPr>
          <w:trHeight w:val="390"/>
        </w:trPr>
        <w:tc>
          <w:tcPr>
            <w:tcW w:w="630" w:type="dxa"/>
            <w:tcBorders>
              <w:top w:val="nil"/>
              <w:left w:val="nil"/>
              <w:bottom w:val="nil"/>
              <w:right w:val="nil"/>
            </w:tcBorders>
            <w:shd w:val="clear" w:color="auto" w:fill="auto"/>
            <w:noWrap/>
            <w:vAlign w:val="center"/>
            <w:hideMark/>
          </w:tcPr>
          <w:p w14:paraId="1249B19C"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Zhao</w:t>
            </w:r>
          </w:p>
        </w:tc>
        <w:tc>
          <w:tcPr>
            <w:tcW w:w="456" w:type="dxa"/>
            <w:tcBorders>
              <w:top w:val="nil"/>
              <w:left w:val="nil"/>
              <w:bottom w:val="nil"/>
              <w:right w:val="nil"/>
            </w:tcBorders>
            <w:shd w:val="clear" w:color="auto" w:fill="auto"/>
            <w:noWrap/>
            <w:vAlign w:val="center"/>
            <w:hideMark/>
          </w:tcPr>
          <w:p w14:paraId="302F706F"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2010</w:t>
            </w:r>
          </w:p>
        </w:tc>
        <w:tc>
          <w:tcPr>
            <w:tcW w:w="546" w:type="dxa"/>
            <w:tcBorders>
              <w:top w:val="nil"/>
              <w:left w:val="nil"/>
              <w:bottom w:val="nil"/>
              <w:right w:val="nil"/>
            </w:tcBorders>
            <w:shd w:val="clear" w:color="auto" w:fill="auto"/>
            <w:noWrap/>
            <w:vAlign w:val="center"/>
            <w:hideMark/>
          </w:tcPr>
          <w:p w14:paraId="26F92619"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(-10,9)</w:t>
            </w:r>
          </w:p>
        </w:tc>
        <w:tc>
          <w:tcPr>
            <w:tcW w:w="443" w:type="dxa"/>
            <w:tcBorders>
              <w:top w:val="nil"/>
              <w:left w:val="nil"/>
              <w:bottom w:val="nil"/>
              <w:right w:val="nil"/>
            </w:tcBorders>
            <w:shd w:val="clear" w:color="auto" w:fill="auto"/>
            <w:noWrap/>
            <w:vAlign w:val="center"/>
            <w:hideMark/>
          </w:tcPr>
          <w:p w14:paraId="3F374368"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66" w:type="dxa"/>
            <w:tcBorders>
              <w:top w:val="nil"/>
              <w:left w:val="nil"/>
              <w:bottom w:val="nil"/>
              <w:right w:val="nil"/>
            </w:tcBorders>
            <w:shd w:val="clear" w:color="auto" w:fill="auto"/>
            <w:noWrap/>
            <w:vAlign w:val="center"/>
            <w:hideMark/>
          </w:tcPr>
          <w:p w14:paraId="4621BAB5"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(-28,126)</w:t>
            </w:r>
          </w:p>
        </w:tc>
        <w:tc>
          <w:tcPr>
            <w:tcW w:w="606" w:type="dxa"/>
            <w:tcBorders>
              <w:top w:val="nil"/>
              <w:left w:val="nil"/>
              <w:bottom w:val="nil"/>
              <w:right w:val="nil"/>
            </w:tcBorders>
            <w:shd w:val="clear" w:color="auto" w:fill="auto"/>
            <w:noWrap/>
            <w:vAlign w:val="center"/>
            <w:hideMark/>
          </w:tcPr>
          <w:p w14:paraId="17048800"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(-18,42)</w:t>
            </w:r>
          </w:p>
        </w:tc>
        <w:tc>
          <w:tcPr>
            <w:tcW w:w="486" w:type="dxa"/>
            <w:tcBorders>
              <w:top w:val="nil"/>
              <w:left w:val="nil"/>
              <w:bottom w:val="nil"/>
              <w:right w:val="nil"/>
            </w:tcBorders>
            <w:shd w:val="clear" w:color="auto" w:fill="auto"/>
            <w:noWrap/>
            <w:vAlign w:val="center"/>
            <w:hideMark/>
          </w:tcPr>
          <w:p w14:paraId="23E21E1A"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63" w:type="dxa"/>
            <w:tcBorders>
              <w:top w:val="nil"/>
              <w:left w:val="nil"/>
              <w:bottom w:val="nil"/>
              <w:right w:val="nil"/>
            </w:tcBorders>
            <w:shd w:val="clear" w:color="auto" w:fill="auto"/>
            <w:noWrap/>
            <w:vAlign w:val="center"/>
            <w:hideMark/>
          </w:tcPr>
          <w:p w14:paraId="34A98477"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450" w:type="dxa"/>
            <w:tcBorders>
              <w:top w:val="nil"/>
              <w:left w:val="nil"/>
              <w:bottom w:val="nil"/>
              <w:right w:val="nil"/>
            </w:tcBorders>
            <w:shd w:val="clear" w:color="auto" w:fill="auto"/>
            <w:noWrap/>
            <w:vAlign w:val="center"/>
            <w:hideMark/>
          </w:tcPr>
          <w:p w14:paraId="664BABD6"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66" w:type="dxa"/>
            <w:tcBorders>
              <w:top w:val="nil"/>
              <w:left w:val="nil"/>
              <w:bottom w:val="nil"/>
              <w:right w:val="nil"/>
            </w:tcBorders>
            <w:shd w:val="clear" w:color="auto" w:fill="auto"/>
            <w:noWrap/>
            <w:vAlign w:val="center"/>
            <w:hideMark/>
          </w:tcPr>
          <w:p w14:paraId="000C0C16"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(-42,114)</w:t>
            </w:r>
          </w:p>
        </w:tc>
        <w:tc>
          <w:tcPr>
            <w:tcW w:w="606" w:type="dxa"/>
            <w:tcBorders>
              <w:top w:val="nil"/>
              <w:left w:val="nil"/>
              <w:bottom w:val="nil"/>
              <w:right w:val="nil"/>
            </w:tcBorders>
            <w:shd w:val="clear" w:color="auto" w:fill="auto"/>
            <w:noWrap/>
            <w:vAlign w:val="center"/>
            <w:hideMark/>
          </w:tcPr>
          <w:p w14:paraId="69384536"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(-15,54)</w:t>
            </w:r>
          </w:p>
        </w:tc>
        <w:tc>
          <w:tcPr>
            <w:tcW w:w="606" w:type="dxa"/>
            <w:tcBorders>
              <w:top w:val="nil"/>
              <w:left w:val="nil"/>
              <w:bottom w:val="nil"/>
              <w:right w:val="nil"/>
            </w:tcBorders>
            <w:shd w:val="clear" w:color="auto" w:fill="auto"/>
            <w:noWrap/>
            <w:vAlign w:val="center"/>
            <w:hideMark/>
          </w:tcPr>
          <w:p w14:paraId="2EC422AE"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(-15,63)</w:t>
            </w:r>
          </w:p>
        </w:tc>
        <w:tc>
          <w:tcPr>
            <w:tcW w:w="606" w:type="dxa"/>
            <w:tcBorders>
              <w:top w:val="nil"/>
              <w:left w:val="nil"/>
              <w:bottom w:val="nil"/>
              <w:right w:val="nil"/>
            </w:tcBorders>
            <w:shd w:val="clear" w:color="auto" w:fill="auto"/>
            <w:noWrap/>
            <w:vAlign w:val="center"/>
            <w:hideMark/>
          </w:tcPr>
          <w:p w14:paraId="35732A34"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(-15,26)</w:t>
            </w:r>
          </w:p>
        </w:tc>
        <w:tc>
          <w:tcPr>
            <w:tcW w:w="1943" w:type="dxa"/>
            <w:tcBorders>
              <w:top w:val="nil"/>
              <w:left w:val="nil"/>
              <w:bottom w:val="nil"/>
              <w:right w:val="nil"/>
            </w:tcBorders>
            <w:shd w:val="clear" w:color="auto" w:fill="auto"/>
            <w:noWrap/>
            <w:vAlign w:val="center"/>
            <w:hideMark/>
          </w:tcPr>
          <w:p w14:paraId="1E26E130" w14:textId="522CCE1B" w:rsidR="00104EBD" w:rsidRPr="00104EBD" w:rsidRDefault="006A397B" w:rsidP="00400D1C">
            <w:pPr>
              <w:widowControl/>
              <w:jc w:val="left"/>
              <w:rPr>
                <w:rFonts w:ascii="Times New Roman" w:eastAsia="宋体" w:hAnsi="Times New Roman" w:cs="Times New Roman"/>
                <w:color w:val="000000"/>
                <w:kern w:val="0"/>
                <w:sz w:val="12"/>
                <w:szCs w:val="12"/>
              </w:rPr>
            </w:pPr>
            <w:r>
              <w:rPr>
                <w:rFonts w:ascii="Times New Roman" w:eastAsia="宋体" w:hAnsi="Times New Roman" w:cs="Times New Roman"/>
                <w:color w:val="000000"/>
                <w:kern w:val="0"/>
                <w:sz w:val="12"/>
                <w:szCs w:val="12"/>
              </w:rPr>
              <w:fldChar w:fldCharType="begin"/>
            </w:r>
            <w:r w:rsidR="00345F94">
              <w:rPr>
                <w:rFonts w:ascii="Times New Roman" w:eastAsia="宋体" w:hAnsi="Times New Roman" w:cs="Times New Roman"/>
                <w:color w:val="000000"/>
                <w:kern w:val="0"/>
                <w:sz w:val="12"/>
                <w:szCs w:val="12"/>
              </w:rPr>
              <w:instrText xml:space="preserve"> ADDIN EN.CITE &lt;EndNote&gt;&lt;Cite&gt;&lt;Author&gt;Zhao&lt;/Author&gt;&lt;Year&gt;2013&lt;/Year&gt;&lt;RecNum&gt;57&lt;/RecNum&gt;&lt;DisplayText&gt;[2]&lt;/DisplayText&gt;&lt;record&gt;&lt;rec-number&gt;57&lt;/rec-number&gt;&lt;foreign-keys&gt;&lt;key app="EN" db-id="xd2dprt5v2wa2tep9eevsae9zpxza0xsdfza"&gt;57&lt;/key&gt;&lt;/foreign-keys&gt;&lt;ref-type name="Journal Article"&gt;17&lt;/ref-type&gt;&lt;contributors&gt;&lt;authors&gt;&lt;author&gt;Zhao, Yu&lt;/author&gt;&lt;author&gt;Zhang, Jie&lt;/author&gt;&lt;author&gt;Nielsen, CP&lt;/author&gt;&lt;/authors&gt;&lt;/contributors&gt;&lt;titles&gt;&lt;title&gt;The effects of recent control policies on trends in emissions of anthropogenic atmospheric pollutants and CO 2 in China&lt;/title&gt;&lt;secondary-title&gt;Atmospheric Chemistry and Physics&lt;/secondary-title&gt;&lt;/titles&gt;&lt;periodical&gt;&lt;full-title&gt;Atmospheric Chemistry and Physics&lt;/full-title&gt;&lt;/periodical&gt;&lt;pages&gt;487-508&lt;/pages&gt;&lt;volume&gt;13&lt;/volume&gt;&lt;number&gt;2&lt;/number&gt;&lt;dates&gt;&lt;year&gt;2013&lt;/year&gt;&lt;/dates&gt;&lt;isbn&gt;1680-7316&lt;/isbn&gt;&lt;urls&gt;&lt;/urls&gt;&lt;/record&gt;&lt;/Cite&gt;&lt;/EndNote&gt;</w:instrText>
            </w:r>
            <w:r>
              <w:rPr>
                <w:rFonts w:ascii="Times New Roman" w:eastAsia="宋体" w:hAnsi="Times New Roman" w:cs="Times New Roman"/>
                <w:color w:val="000000"/>
                <w:kern w:val="0"/>
                <w:sz w:val="12"/>
                <w:szCs w:val="12"/>
              </w:rPr>
              <w:fldChar w:fldCharType="separate"/>
            </w:r>
            <w:r w:rsidR="00345F94">
              <w:rPr>
                <w:rFonts w:ascii="Times New Roman" w:eastAsia="宋体" w:hAnsi="Times New Roman" w:cs="Times New Roman"/>
                <w:noProof/>
                <w:color w:val="000000"/>
                <w:kern w:val="0"/>
                <w:sz w:val="12"/>
                <w:szCs w:val="12"/>
              </w:rPr>
              <w:t>[</w:t>
            </w:r>
            <w:hyperlink w:anchor="_ENREF_2" w:tooltip="Zhao, 2013 #57" w:history="1">
              <w:r w:rsidR="00400D1C">
                <w:rPr>
                  <w:rFonts w:ascii="Times New Roman" w:eastAsia="宋体" w:hAnsi="Times New Roman" w:cs="Times New Roman"/>
                  <w:noProof/>
                  <w:color w:val="000000"/>
                  <w:kern w:val="0"/>
                  <w:sz w:val="12"/>
                  <w:szCs w:val="12"/>
                </w:rPr>
                <w:t>2</w:t>
              </w:r>
            </w:hyperlink>
            <w:r w:rsidR="00345F94">
              <w:rPr>
                <w:rFonts w:ascii="Times New Roman" w:eastAsia="宋体" w:hAnsi="Times New Roman" w:cs="Times New Roman"/>
                <w:noProof/>
                <w:color w:val="000000"/>
                <w:kern w:val="0"/>
                <w:sz w:val="12"/>
                <w:szCs w:val="12"/>
              </w:rPr>
              <w:t>]</w:t>
            </w:r>
            <w:r>
              <w:rPr>
                <w:rFonts w:ascii="Times New Roman" w:eastAsia="宋体" w:hAnsi="Times New Roman" w:cs="Times New Roman"/>
                <w:color w:val="000000"/>
                <w:kern w:val="0"/>
                <w:sz w:val="12"/>
                <w:szCs w:val="12"/>
              </w:rPr>
              <w:fldChar w:fldCharType="end"/>
            </w:r>
            <w:bookmarkStart w:id="0" w:name="_GoBack"/>
            <w:bookmarkEnd w:id="0"/>
          </w:p>
        </w:tc>
      </w:tr>
      <w:tr w:rsidR="00104EBD" w:rsidRPr="00104EBD" w14:paraId="6FD449D6" w14:textId="77777777" w:rsidTr="003325A0">
        <w:trPr>
          <w:trHeight w:val="280"/>
        </w:trPr>
        <w:tc>
          <w:tcPr>
            <w:tcW w:w="630" w:type="dxa"/>
            <w:tcBorders>
              <w:top w:val="nil"/>
              <w:left w:val="nil"/>
              <w:right w:val="nil"/>
            </w:tcBorders>
            <w:shd w:val="clear" w:color="auto" w:fill="auto"/>
            <w:noWrap/>
            <w:vAlign w:val="center"/>
            <w:hideMark/>
          </w:tcPr>
          <w:p w14:paraId="26E228CA"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MEIC</w:t>
            </w:r>
          </w:p>
        </w:tc>
        <w:tc>
          <w:tcPr>
            <w:tcW w:w="456" w:type="dxa"/>
            <w:tcBorders>
              <w:top w:val="nil"/>
              <w:left w:val="nil"/>
              <w:right w:val="nil"/>
            </w:tcBorders>
            <w:shd w:val="clear" w:color="auto" w:fill="auto"/>
            <w:noWrap/>
            <w:vAlign w:val="center"/>
            <w:hideMark/>
          </w:tcPr>
          <w:p w14:paraId="4D43A63F"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2006</w:t>
            </w:r>
          </w:p>
        </w:tc>
        <w:tc>
          <w:tcPr>
            <w:tcW w:w="546" w:type="dxa"/>
            <w:tcBorders>
              <w:top w:val="nil"/>
              <w:left w:val="nil"/>
              <w:right w:val="nil"/>
            </w:tcBorders>
            <w:shd w:val="clear" w:color="auto" w:fill="auto"/>
            <w:noWrap/>
            <w:vAlign w:val="center"/>
            <w:hideMark/>
          </w:tcPr>
          <w:p w14:paraId="374DA910"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443" w:type="dxa"/>
            <w:tcBorders>
              <w:top w:val="nil"/>
              <w:left w:val="nil"/>
              <w:right w:val="nil"/>
            </w:tcBorders>
            <w:shd w:val="clear" w:color="auto" w:fill="auto"/>
            <w:noWrap/>
            <w:vAlign w:val="center"/>
            <w:hideMark/>
          </w:tcPr>
          <w:p w14:paraId="395B8D0D"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66" w:type="dxa"/>
            <w:tcBorders>
              <w:top w:val="nil"/>
              <w:left w:val="nil"/>
              <w:right w:val="nil"/>
            </w:tcBorders>
            <w:shd w:val="clear" w:color="auto" w:fill="auto"/>
            <w:noWrap/>
            <w:vAlign w:val="center"/>
            <w:hideMark/>
          </w:tcPr>
          <w:p w14:paraId="083EF515"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06" w:type="dxa"/>
            <w:tcBorders>
              <w:top w:val="nil"/>
              <w:left w:val="nil"/>
              <w:right w:val="nil"/>
            </w:tcBorders>
            <w:shd w:val="clear" w:color="auto" w:fill="auto"/>
            <w:noWrap/>
            <w:vAlign w:val="center"/>
            <w:hideMark/>
          </w:tcPr>
          <w:p w14:paraId="724CD36F"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±70</w:t>
            </w:r>
          </w:p>
        </w:tc>
        <w:tc>
          <w:tcPr>
            <w:tcW w:w="486" w:type="dxa"/>
            <w:tcBorders>
              <w:top w:val="nil"/>
              <w:left w:val="nil"/>
              <w:right w:val="nil"/>
            </w:tcBorders>
            <w:shd w:val="clear" w:color="auto" w:fill="auto"/>
            <w:noWrap/>
            <w:vAlign w:val="center"/>
            <w:hideMark/>
          </w:tcPr>
          <w:p w14:paraId="08583AFF"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63" w:type="dxa"/>
            <w:tcBorders>
              <w:top w:val="nil"/>
              <w:left w:val="nil"/>
              <w:right w:val="nil"/>
            </w:tcBorders>
            <w:shd w:val="clear" w:color="auto" w:fill="auto"/>
            <w:noWrap/>
            <w:vAlign w:val="center"/>
            <w:hideMark/>
          </w:tcPr>
          <w:p w14:paraId="3BDBEAE1"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±68</w:t>
            </w:r>
          </w:p>
        </w:tc>
        <w:tc>
          <w:tcPr>
            <w:tcW w:w="450" w:type="dxa"/>
            <w:tcBorders>
              <w:top w:val="nil"/>
              <w:left w:val="nil"/>
              <w:right w:val="nil"/>
            </w:tcBorders>
            <w:shd w:val="clear" w:color="auto" w:fill="auto"/>
            <w:noWrap/>
            <w:vAlign w:val="center"/>
            <w:hideMark/>
          </w:tcPr>
          <w:p w14:paraId="7ECE93F3"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±31</w:t>
            </w:r>
          </w:p>
        </w:tc>
        <w:tc>
          <w:tcPr>
            <w:tcW w:w="666" w:type="dxa"/>
            <w:tcBorders>
              <w:top w:val="nil"/>
              <w:left w:val="nil"/>
              <w:right w:val="nil"/>
            </w:tcBorders>
            <w:shd w:val="clear" w:color="auto" w:fill="auto"/>
            <w:noWrap/>
            <w:vAlign w:val="center"/>
            <w:hideMark/>
          </w:tcPr>
          <w:p w14:paraId="560EC5CA" w14:textId="77777777" w:rsidR="00104EBD" w:rsidRPr="00104EBD" w:rsidRDefault="00104EBD" w:rsidP="00104EBD">
            <w:pPr>
              <w:widowControl/>
              <w:jc w:val="left"/>
              <w:rPr>
                <w:rFonts w:ascii="Times New Roman" w:eastAsia="宋体" w:hAnsi="Times New Roman" w:cs="Times New Roman"/>
                <w:color w:val="000000"/>
                <w:kern w:val="0"/>
                <w:sz w:val="12"/>
                <w:szCs w:val="12"/>
              </w:rPr>
            </w:pPr>
          </w:p>
        </w:tc>
        <w:tc>
          <w:tcPr>
            <w:tcW w:w="606" w:type="dxa"/>
            <w:tcBorders>
              <w:top w:val="nil"/>
              <w:left w:val="nil"/>
              <w:right w:val="nil"/>
            </w:tcBorders>
            <w:shd w:val="clear" w:color="auto" w:fill="auto"/>
            <w:noWrap/>
            <w:vAlign w:val="center"/>
            <w:hideMark/>
          </w:tcPr>
          <w:p w14:paraId="0FC6C19C"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±132</w:t>
            </w:r>
          </w:p>
        </w:tc>
        <w:tc>
          <w:tcPr>
            <w:tcW w:w="606" w:type="dxa"/>
            <w:tcBorders>
              <w:top w:val="nil"/>
              <w:left w:val="nil"/>
              <w:right w:val="nil"/>
            </w:tcBorders>
            <w:shd w:val="clear" w:color="auto" w:fill="auto"/>
            <w:noWrap/>
            <w:vAlign w:val="center"/>
            <w:hideMark/>
          </w:tcPr>
          <w:p w14:paraId="56FE2E60"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±130</w:t>
            </w:r>
          </w:p>
        </w:tc>
        <w:tc>
          <w:tcPr>
            <w:tcW w:w="606" w:type="dxa"/>
            <w:tcBorders>
              <w:top w:val="nil"/>
              <w:left w:val="nil"/>
              <w:right w:val="nil"/>
            </w:tcBorders>
            <w:shd w:val="clear" w:color="auto" w:fill="auto"/>
            <w:noWrap/>
            <w:vAlign w:val="center"/>
            <w:hideMark/>
          </w:tcPr>
          <w:p w14:paraId="7045F542"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±12</w:t>
            </w:r>
          </w:p>
        </w:tc>
        <w:tc>
          <w:tcPr>
            <w:tcW w:w="1943" w:type="dxa"/>
            <w:tcBorders>
              <w:top w:val="nil"/>
              <w:left w:val="nil"/>
              <w:right w:val="nil"/>
            </w:tcBorders>
            <w:shd w:val="clear" w:color="auto" w:fill="auto"/>
            <w:noWrap/>
            <w:vAlign w:val="center"/>
            <w:hideMark/>
          </w:tcPr>
          <w:p w14:paraId="46DEE3C1" w14:textId="320474FC" w:rsidR="00104EBD" w:rsidRPr="00104EBD" w:rsidRDefault="00AA7F8F" w:rsidP="00400D1C">
            <w:pPr>
              <w:widowControl/>
              <w:jc w:val="left"/>
              <w:rPr>
                <w:rFonts w:ascii="Times New Roman" w:eastAsia="宋体" w:hAnsi="Times New Roman" w:cs="Times New Roman"/>
                <w:color w:val="000000"/>
                <w:kern w:val="0"/>
                <w:sz w:val="12"/>
                <w:szCs w:val="12"/>
              </w:rPr>
            </w:pPr>
            <w:r>
              <w:rPr>
                <w:rFonts w:ascii="Times New Roman" w:eastAsia="宋体" w:hAnsi="Times New Roman" w:cs="Times New Roman"/>
                <w:color w:val="000000"/>
                <w:kern w:val="0"/>
                <w:sz w:val="12"/>
                <w:szCs w:val="12"/>
              </w:rPr>
              <w:fldChar w:fldCharType="begin"/>
            </w:r>
            <w:r w:rsidR="00345F94">
              <w:rPr>
                <w:rFonts w:ascii="Times New Roman" w:eastAsia="宋体" w:hAnsi="Times New Roman" w:cs="Times New Roman"/>
                <w:color w:val="000000"/>
                <w:kern w:val="0"/>
                <w:sz w:val="12"/>
                <w:szCs w:val="12"/>
              </w:rPr>
              <w:instrText xml:space="preserve"> ADDIN EN.CITE &lt;EndNote&gt;&lt;Cite&gt;&lt;Author&gt;Zhang&lt;/Author&gt;&lt;Year&gt;2009&lt;/Year&gt;&lt;RecNum&gt;90&lt;/RecNum&gt;&lt;DisplayText&gt;[3]&lt;/DisplayText&gt;&lt;record&gt;&lt;rec-number&gt;90&lt;/rec-number&gt;&lt;foreign-keys&gt;&lt;key app="EN" db-id="xd2dprt5v2wa2tep9eevsae9zpxza0xsdfza"&gt;90&lt;/key&gt;&lt;/foreign-keys&gt;&lt;ref-type name="Journal Article"&gt;17&lt;/ref-type&gt;&lt;contributors&gt;&lt;authors&gt;&lt;author&gt;Zhang, Q.&lt;/author&gt;&lt;author&gt;Streets, D. G.&lt;/author&gt;&lt;author&gt;Carmichael, G. R.&lt;/author&gt;&lt;author&gt;He, K. B.&lt;/author&gt;&lt;author&gt;Huo, H.&lt;/author&gt;&lt;author&gt;Kannari, A.&lt;/author&gt;&lt;author&gt;Klimont, Z.&lt;/author&gt;&lt;author&gt;Park, I. S.&lt;/author&gt;&lt;author&gt;Reddy, S.&lt;/author&gt;&lt;author&gt;Fu, J. S.&lt;/author&gt;&lt;author&gt;Chen, D.&lt;/author&gt;&lt;author&gt;Duan, L.&lt;/author&gt;&lt;author&gt;Lei, Y.&lt;/author&gt;&lt;author&gt;Wang, L. T.&lt;/author&gt;&lt;author&gt;Yao, Z. L.&lt;/author&gt;&lt;/authors&gt;&lt;/contributors&gt;&lt;titles&gt;&lt;title&gt;Asian emissions in 2006 for the NASA INTEX-B mission&lt;/title&gt;&lt;secondary-title&gt;Atmos. Chem. Phys.&lt;/secondary-title&gt;&lt;/titles&gt;&lt;periodical&gt;&lt;full-title&gt;Atmos. Chem. Phys.&lt;/full-title&gt;&lt;/periodical&gt;&lt;pages&gt;5131-5153&lt;/pages&gt;&lt;volume&gt;9&lt;/volume&gt;&lt;number&gt;14&lt;/number&gt;&lt;dates&gt;&lt;year&gt;2009&lt;/year&gt;&lt;/dates&gt;&lt;publisher&gt;Copernicus Publications&lt;/publisher&gt;&lt;isbn&gt;1680-7324&lt;/isbn&gt;&lt;urls&gt;&lt;related-urls&gt;&lt;url&gt;https://acp.copernicus.org/articles/9/5131/2009/&lt;/url&gt;&lt;/related-urls&gt;&lt;pdf-urls&gt;&lt;url&gt;https://acp.copernicus.org/articles/9/5131/2009/acp-9-5131-2009.pdf&lt;/url&gt;&lt;/pdf-urls&gt;&lt;/urls&gt;&lt;electronic-resource-num&gt;10.5194/acp-9-5131-2009&lt;/electronic-resource-num&gt;&lt;/record&gt;&lt;/Cite&gt;&lt;/EndNote&gt;</w:instrText>
            </w:r>
            <w:r>
              <w:rPr>
                <w:rFonts w:ascii="Times New Roman" w:eastAsia="宋体" w:hAnsi="Times New Roman" w:cs="Times New Roman"/>
                <w:color w:val="000000"/>
                <w:kern w:val="0"/>
                <w:sz w:val="12"/>
                <w:szCs w:val="12"/>
              </w:rPr>
              <w:fldChar w:fldCharType="separate"/>
            </w:r>
            <w:r w:rsidR="00345F94">
              <w:rPr>
                <w:rFonts w:ascii="Times New Roman" w:eastAsia="宋体" w:hAnsi="Times New Roman" w:cs="Times New Roman"/>
                <w:noProof/>
                <w:color w:val="000000"/>
                <w:kern w:val="0"/>
                <w:sz w:val="12"/>
                <w:szCs w:val="12"/>
              </w:rPr>
              <w:t>[</w:t>
            </w:r>
            <w:hyperlink w:anchor="_ENREF_3" w:tooltip="Zhang, 2009 #90" w:history="1">
              <w:r w:rsidR="00400D1C">
                <w:rPr>
                  <w:rFonts w:ascii="Times New Roman" w:eastAsia="宋体" w:hAnsi="Times New Roman" w:cs="Times New Roman"/>
                  <w:noProof/>
                  <w:color w:val="000000"/>
                  <w:kern w:val="0"/>
                  <w:sz w:val="12"/>
                  <w:szCs w:val="12"/>
                </w:rPr>
                <w:t>3</w:t>
              </w:r>
            </w:hyperlink>
            <w:r w:rsidR="00345F94">
              <w:rPr>
                <w:rFonts w:ascii="Times New Roman" w:eastAsia="宋体" w:hAnsi="Times New Roman" w:cs="Times New Roman"/>
                <w:noProof/>
                <w:color w:val="000000"/>
                <w:kern w:val="0"/>
                <w:sz w:val="12"/>
                <w:szCs w:val="12"/>
              </w:rPr>
              <w:t>]</w:t>
            </w:r>
            <w:r>
              <w:rPr>
                <w:rFonts w:ascii="Times New Roman" w:eastAsia="宋体" w:hAnsi="Times New Roman" w:cs="Times New Roman"/>
                <w:color w:val="000000"/>
                <w:kern w:val="0"/>
                <w:sz w:val="12"/>
                <w:szCs w:val="12"/>
              </w:rPr>
              <w:fldChar w:fldCharType="end"/>
            </w:r>
          </w:p>
        </w:tc>
      </w:tr>
      <w:tr w:rsidR="00104EBD" w:rsidRPr="00104EBD" w14:paraId="0E9D4640" w14:textId="77777777" w:rsidTr="003325A0">
        <w:trPr>
          <w:trHeight w:val="320"/>
        </w:trPr>
        <w:tc>
          <w:tcPr>
            <w:tcW w:w="630" w:type="dxa"/>
            <w:tcBorders>
              <w:top w:val="nil"/>
              <w:left w:val="nil"/>
              <w:bottom w:val="single" w:sz="4" w:space="0" w:color="auto"/>
              <w:right w:val="nil"/>
            </w:tcBorders>
            <w:shd w:val="clear" w:color="auto" w:fill="auto"/>
            <w:noWrap/>
            <w:vAlign w:val="center"/>
            <w:hideMark/>
          </w:tcPr>
          <w:p w14:paraId="3E219812"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EDGAR</w:t>
            </w:r>
          </w:p>
        </w:tc>
        <w:tc>
          <w:tcPr>
            <w:tcW w:w="456" w:type="dxa"/>
            <w:tcBorders>
              <w:top w:val="nil"/>
              <w:left w:val="nil"/>
              <w:bottom w:val="single" w:sz="4" w:space="0" w:color="auto"/>
              <w:right w:val="nil"/>
            </w:tcBorders>
            <w:shd w:val="clear" w:color="auto" w:fill="auto"/>
            <w:noWrap/>
            <w:vAlign w:val="center"/>
            <w:hideMark/>
          </w:tcPr>
          <w:p w14:paraId="29D3B1A6"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2012</w:t>
            </w:r>
          </w:p>
        </w:tc>
        <w:tc>
          <w:tcPr>
            <w:tcW w:w="546" w:type="dxa"/>
            <w:tcBorders>
              <w:top w:val="nil"/>
              <w:left w:val="nil"/>
              <w:bottom w:val="single" w:sz="4" w:space="0" w:color="auto"/>
              <w:right w:val="nil"/>
            </w:tcBorders>
            <w:shd w:val="clear" w:color="auto" w:fill="auto"/>
            <w:noWrap/>
            <w:vAlign w:val="center"/>
            <w:hideMark/>
          </w:tcPr>
          <w:p w14:paraId="3952EF3E"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9</w:t>
            </w:r>
          </w:p>
        </w:tc>
        <w:tc>
          <w:tcPr>
            <w:tcW w:w="443" w:type="dxa"/>
            <w:tcBorders>
              <w:top w:val="nil"/>
              <w:left w:val="nil"/>
              <w:bottom w:val="single" w:sz="4" w:space="0" w:color="auto"/>
              <w:right w:val="nil"/>
            </w:tcBorders>
            <w:shd w:val="clear" w:color="auto" w:fill="auto"/>
            <w:noWrap/>
            <w:vAlign w:val="center"/>
            <w:hideMark/>
          </w:tcPr>
          <w:p w14:paraId="3DB0F15E"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57</w:t>
            </w:r>
          </w:p>
        </w:tc>
        <w:tc>
          <w:tcPr>
            <w:tcW w:w="666" w:type="dxa"/>
            <w:tcBorders>
              <w:top w:val="nil"/>
              <w:left w:val="nil"/>
              <w:bottom w:val="single" w:sz="4" w:space="0" w:color="auto"/>
              <w:right w:val="nil"/>
            </w:tcBorders>
            <w:shd w:val="clear" w:color="auto" w:fill="auto"/>
            <w:noWrap/>
            <w:vAlign w:val="center"/>
            <w:hideMark/>
          </w:tcPr>
          <w:p w14:paraId="482886CE"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74.3</w:t>
            </w:r>
          </w:p>
        </w:tc>
        <w:tc>
          <w:tcPr>
            <w:tcW w:w="606" w:type="dxa"/>
            <w:tcBorders>
              <w:top w:val="nil"/>
              <w:left w:val="nil"/>
              <w:bottom w:val="single" w:sz="4" w:space="0" w:color="auto"/>
              <w:right w:val="nil"/>
            </w:tcBorders>
            <w:shd w:val="clear" w:color="auto" w:fill="auto"/>
            <w:noWrap/>
            <w:vAlign w:val="center"/>
            <w:hideMark/>
          </w:tcPr>
          <w:p w14:paraId="55C856A4"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94.4</w:t>
            </w:r>
          </w:p>
        </w:tc>
        <w:tc>
          <w:tcPr>
            <w:tcW w:w="486" w:type="dxa"/>
            <w:tcBorders>
              <w:top w:val="nil"/>
              <w:left w:val="nil"/>
              <w:bottom w:val="single" w:sz="4" w:space="0" w:color="auto"/>
              <w:right w:val="nil"/>
            </w:tcBorders>
            <w:shd w:val="clear" w:color="auto" w:fill="auto"/>
            <w:noWrap/>
            <w:vAlign w:val="center"/>
            <w:hideMark/>
          </w:tcPr>
          <w:p w14:paraId="01B0A833"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294.4</w:t>
            </w:r>
          </w:p>
        </w:tc>
        <w:tc>
          <w:tcPr>
            <w:tcW w:w="663" w:type="dxa"/>
            <w:tcBorders>
              <w:top w:val="nil"/>
              <w:left w:val="nil"/>
              <w:bottom w:val="single" w:sz="4" w:space="0" w:color="auto"/>
              <w:right w:val="nil"/>
            </w:tcBorders>
            <w:shd w:val="clear" w:color="auto" w:fill="auto"/>
            <w:noWrap/>
            <w:vAlign w:val="center"/>
            <w:hideMark/>
          </w:tcPr>
          <w:p w14:paraId="71315F1A"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138.6</w:t>
            </w:r>
          </w:p>
        </w:tc>
        <w:tc>
          <w:tcPr>
            <w:tcW w:w="450" w:type="dxa"/>
            <w:tcBorders>
              <w:top w:val="nil"/>
              <w:left w:val="nil"/>
              <w:bottom w:val="single" w:sz="4" w:space="0" w:color="auto"/>
              <w:right w:val="nil"/>
            </w:tcBorders>
            <w:shd w:val="clear" w:color="auto" w:fill="auto"/>
            <w:noWrap/>
            <w:vAlign w:val="center"/>
            <w:hideMark/>
          </w:tcPr>
          <w:p w14:paraId="0E1A5998"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56.2</w:t>
            </w:r>
          </w:p>
        </w:tc>
        <w:tc>
          <w:tcPr>
            <w:tcW w:w="666" w:type="dxa"/>
            <w:tcBorders>
              <w:top w:val="nil"/>
              <w:left w:val="nil"/>
              <w:bottom w:val="single" w:sz="4" w:space="0" w:color="auto"/>
              <w:right w:val="nil"/>
            </w:tcBorders>
            <w:shd w:val="clear" w:color="auto" w:fill="auto"/>
            <w:noWrap/>
            <w:vAlign w:val="center"/>
            <w:hideMark/>
          </w:tcPr>
          <w:p w14:paraId="23EBCAE7"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129.2</w:t>
            </w:r>
          </w:p>
        </w:tc>
        <w:tc>
          <w:tcPr>
            <w:tcW w:w="606" w:type="dxa"/>
            <w:tcBorders>
              <w:top w:val="nil"/>
              <w:left w:val="nil"/>
              <w:bottom w:val="single" w:sz="4" w:space="0" w:color="auto"/>
              <w:right w:val="nil"/>
            </w:tcBorders>
            <w:shd w:val="clear" w:color="auto" w:fill="auto"/>
            <w:noWrap/>
            <w:vAlign w:val="center"/>
            <w:hideMark/>
          </w:tcPr>
          <w:p w14:paraId="27D3B99D"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81.7</w:t>
            </w:r>
          </w:p>
        </w:tc>
        <w:tc>
          <w:tcPr>
            <w:tcW w:w="606" w:type="dxa"/>
            <w:tcBorders>
              <w:top w:val="nil"/>
              <w:left w:val="nil"/>
              <w:bottom w:val="single" w:sz="4" w:space="0" w:color="auto"/>
              <w:right w:val="nil"/>
            </w:tcBorders>
            <w:shd w:val="clear" w:color="auto" w:fill="auto"/>
            <w:noWrap/>
            <w:vAlign w:val="center"/>
            <w:hideMark/>
          </w:tcPr>
          <w:p w14:paraId="008490A2"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75.7</w:t>
            </w:r>
          </w:p>
        </w:tc>
        <w:tc>
          <w:tcPr>
            <w:tcW w:w="606" w:type="dxa"/>
            <w:tcBorders>
              <w:top w:val="nil"/>
              <w:left w:val="nil"/>
              <w:bottom w:val="single" w:sz="4" w:space="0" w:color="auto"/>
              <w:right w:val="nil"/>
            </w:tcBorders>
            <w:shd w:val="clear" w:color="auto" w:fill="auto"/>
            <w:noWrap/>
            <w:vAlign w:val="center"/>
            <w:hideMark/>
          </w:tcPr>
          <w:p w14:paraId="78AD4D19" w14:textId="77777777" w:rsidR="00104EBD" w:rsidRPr="00104EBD" w:rsidRDefault="00104EBD" w:rsidP="00104EBD">
            <w:pPr>
              <w:widowControl/>
              <w:jc w:val="left"/>
              <w:rPr>
                <w:rFonts w:ascii="Times New Roman" w:eastAsia="宋体" w:hAnsi="Times New Roman" w:cs="Times New Roman"/>
                <w:color w:val="000000"/>
                <w:kern w:val="0"/>
                <w:sz w:val="12"/>
                <w:szCs w:val="12"/>
              </w:rPr>
            </w:pPr>
            <w:r w:rsidRPr="00104EBD">
              <w:rPr>
                <w:rFonts w:ascii="Times New Roman" w:eastAsia="宋体" w:hAnsi="Times New Roman" w:cs="Times New Roman"/>
                <w:color w:val="000000"/>
                <w:kern w:val="0"/>
                <w:sz w:val="12"/>
                <w:szCs w:val="12"/>
              </w:rPr>
              <w:t>22.2</w:t>
            </w:r>
          </w:p>
        </w:tc>
        <w:tc>
          <w:tcPr>
            <w:tcW w:w="1943" w:type="dxa"/>
            <w:tcBorders>
              <w:top w:val="nil"/>
              <w:left w:val="nil"/>
              <w:bottom w:val="single" w:sz="4" w:space="0" w:color="auto"/>
              <w:right w:val="nil"/>
            </w:tcBorders>
            <w:shd w:val="clear" w:color="auto" w:fill="auto"/>
            <w:vAlign w:val="center"/>
            <w:hideMark/>
          </w:tcPr>
          <w:p w14:paraId="2B73A568" w14:textId="2E68EF7D" w:rsidR="00104EBD" w:rsidRPr="00104EBD" w:rsidRDefault="00400D1C" w:rsidP="00400D1C">
            <w:pPr>
              <w:widowControl/>
              <w:jc w:val="left"/>
              <w:rPr>
                <w:rFonts w:ascii="Times New Roman" w:eastAsia="宋体" w:hAnsi="Times New Roman" w:cs="Times New Roman"/>
                <w:color w:val="000000"/>
                <w:kern w:val="0"/>
                <w:sz w:val="12"/>
                <w:szCs w:val="12"/>
              </w:rPr>
            </w:pPr>
            <w:r>
              <w:rPr>
                <w:rFonts w:ascii="Times New Roman" w:eastAsia="宋体" w:hAnsi="Times New Roman" w:cs="Times New Roman"/>
                <w:color w:val="000000"/>
                <w:kern w:val="0"/>
                <w:sz w:val="12"/>
                <w:szCs w:val="12"/>
              </w:rPr>
              <w:fldChar w:fldCharType="begin">
                <w:fldData xml:space="preserve">PEVuZE5vdGU+PENpdGU+PEF1dGhvcj5KYW5zc2Vucy1NYWVuaG91dDwvQXV0aG9yPjxZZWFyPjIw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</w:fldData>
              </w:fldChar>
            </w:r>
            <w:r>
              <w:rPr>
                <w:rFonts w:ascii="Times New Roman" w:eastAsia="宋体" w:hAnsi="Times New Roman" w:cs="Times New Roman"/>
                <w:color w:val="000000"/>
                <w:kern w:val="0"/>
                <w:sz w:val="12"/>
                <w:szCs w:val="12"/>
              </w:rPr>
              <w:instrText xml:space="preserve"> ADDIN EN.CITE </w:instrText>
            </w:r>
            <w:r>
              <w:rPr>
                <w:rFonts w:ascii="Times New Roman" w:eastAsia="宋体" w:hAnsi="Times New Roman" w:cs="Times New Roman"/>
                <w:color w:val="000000"/>
                <w:kern w:val="0"/>
                <w:sz w:val="12"/>
                <w:szCs w:val="12"/>
              </w:rPr>
              <w:fldChar w:fldCharType="begin">
                <w:fldData xml:space="preserve">PEVuZE5vdGU+PENpdGU+PEF1dGhvcj5KYW5zc2Vucy1NYWVuaG91dDwvQXV0aG9yPjxZZWFyPjIw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</w:fldData>
              </w:fldChar>
            </w:r>
            <w:r>
              <w:rPr>
                <w:rFonts w:ascii="Times New Roman" w:eastAsia="宋体" w:hAnsi="Times New Roman" w:cs="Times New Roman"/>
                <w:color w:val="000000"/>
                <w:kern w:val="0"/>
                <w:sz w:val="12"/>
                <w:szCs w:val="12"/>
              </w:rPr>
              <w:instrText xml:space="preserve"> ADDIN EN.CITE.DATA </w:instrText>
            </w:r>
            <w:r>
              <w:rPr>
                <w:rFonts w:ascii="Times New Roman" w:eastAsia="宋体" w:hAnsi="Times New Roman" w:cs="Times New Roman"/>
                <w:color w:val="000000"/>
                <w:kern w:val="0"/>
                <w:sz w:val="12"/>
                <w:szCs w:val="12"/>
              </w:rPr>
            </w:r>
            <w:r>
              <w:rPr>
                <w:rFonts w:ascii="Times New Roman" w:eastAsia="宋体" w:hAnsi="Times New Roman" w:cs="Times New Roman"/>
                <w:color w:val="000000"/>
                <w:kern w:val="0"/>
                <w:sz w:val="12"/>
                <w:szCs w:val="12"/>
              </w:rPr>
              <w:fldChar w:fldCharType="end"/>
            </w:r>
            <w:r>
              <w:rPr>
                <w:rFonts w:ascii="Times New Roman" w:eastAsia="宋体" w:hAnsi="Times New Roman" w:cs="Times New Roman"/>
                <w:color w:val="000000"/>
                <w:kern w:val="0"/>
                <w:sz w:val="12"/>
                <w:szCs w:val="12"/>
              </w:rPr>
              <w:fldChar w:fldCharType="separate"/>
            </w:r>
            <w:r>
              <w:rPr>
                <w:rFonts w:ascii="Times New Roman" w:eastAsia="宋体" w:hAnsi="Times New Roman" w:cs="Times New Roman"/>
                <w:noProof/>
                <w:color w:val="000000"/>
                <w:kern w:val="0"/>
                <w:sz w:val="12"/>
                <w:szCs w:val="12"/>
              </w:rPr>
              <w:t>[</w:t>
            </w:r>
            <w:hyperlink w:anchor="_ENREF_4" w:tooltip="Janssens-Maenhout, 2019 #91" w:history="1">
              <w:r>
                <w:rPr>
                  <w:rFonts w:ascii="Times New Roman" w:eastAsia="宋体" w:hAnsi="Times New Roman" w:cs="Times New Roman"/>
                  <w:noProof/>
                  <w:color w:val="000000"/>
                  <w:kern w:val="0"/>
                  <w:sz w:val="12"/>
                  <w:szCs w:val="12"/>
                </w:rPr>
                <w:t>4</w:t>
              </w:r>
            </w:hyperlink>
            <w:r>
              <w:rPr>
                <w:rFonts w:ascii="Times New Roman" w:eastAsia="宋体" w:hAnsi="Times New Roman" w:cs="Times New Roman"/>
                <w:noProof/>
                <w:color w:val="000000"/>
                <w:kern w:val="0"/>
                <w:sz w:val="12"/>
                <w:szCs w:val="12"/>
              </w:rPr>
              <w:t xml:space="preserve">, </w:t>
            </w:r>
            <w:hyperlink w:anchor="_ENREF_5" w:tooltip="Crippa, 2018 #92" w:history="1">
              <w:r>
                <w:rPr>
                  <w:rFonts w:ascii="Times New Roman" w:eastAsia="宋体" w:hAnsi="Times New Roman" w:cs="Times New Roman"/>
                  <w:noProof/>
                  <w:color w:val="000000"/>
                  <w:kern w:val="0"/>
                  <w:sz w:val="12"/>
                  <w:szCs w:val="12"/>
                </w:rPr>
                <w:t>5</w:t>
              </w:r>
            </w:hyperlink>
            <w:r>
              <w:rPr>
                <w:rFonts w:ascii="Times New Roman" w:eastAsia="宋体" w:hAnsi="Times New Roman" w:cs="Times New Roman"/>
                <w:noProof/>
                <w:color w:val="000000"/>
                <w:kern w:val="0"/>
                <w:sz w:val="12"/>
                <w:szCs w:val="12"/>
              </w:rPr>
              <w:t>]</w:t>
            </w:r>
            <w:r>
              <w:rPr>
                <w:rFonts w:ascii="Times New Roman" w:eastAsia="宋体" w:hAnsi="Times New Roman" w:cs="Times New Roman"/>
                <w:color w:val="000000"/>
                <w:kern w:val="0"/>
                <w:sz w:val="12"/>
                <w:szCs w:val="12"/>
              </w:rPr>
              <w:fldChar w:fldCharType="end"/>
            </w:r>
          </w:p>
        </w:tc>
      </w:tr>
      <w:tr w:rsidR="003325A0" w:rsidRPr="00104EBD" w14:paraId="6BA086EB" w14:textId="77777777" w:rsidTr="0094298E">
        <w:trPr>
          <w:trHeight w:val="280"/>
        </w:trPr>
        <w:tc>
          <w:tcPr>
            <w:tcW w:w="9373" w:type="dxa"/>
            <w:gridSpan w:val="14"/>
            <w:tcBorders>
              <w:top w:val="nil"/>
              <w:left w:val="nil"/>
              <w:bottom w:val="nil"/>
              <w:right w:val="nil"/>
            </w:tcBorders>
            <w:shd w:val="clear" w:color="auto" w:fill="auto"/>
            <w:noWrap/>
            <w:vAlign w:val="center"/>
            <w:hideMark/>
          </w:tcPr>
          <w:p w14:paraId="7E71B7AE" w14:textId="5A3F5BF1" w:rsidR="003325A0" w:rsidRPr="00104EBD" w:rsidRDefault="003325A0" w:rsidP="00104EBD">
            <w:pPr>
              <w:widowControl/>
              <w:jc w:val="left"/>
              <w:rPr>
                <w:rFonts w:ascii="Times New Roman" w:eastAsia="宋体" w:hAnsi="Times New Roman" w:cs="Times New Roman"/>
                <w:color w:val="000000"/>
                <w:kern w:val="0"/>
                <w:sz w:val="12"/>
                <w:szCs w:val="12"/>
              </w:rPr>
            </w:pPr>
            <w:r>
              <w:rPr>
                <w:rFonts w:ascii="Times New Roman" w:eastAsia="宋体" w:hAnsi="Times New Roman" w:cs="Times New Roman" w:hint="eastAsia"/>
                <w:color w:val="000000"/>
                <w:kern w:val="0"/>
                <w:sz w:val="12"/>
                <w:szCs w:val="12"/>
              </w:rPr>
              <w:t>*</w:t>
            </w:r>
            <w:r w:rsidRPr="00104EBD">
              <w:rPr>
                <w:rFonts w:ascii="Times New Roman" w:eastAsia="宋体" w:hAnsi="Times New Roman" w:cs="Times New Roman"/>
                <w:color w:val="000000"/>
                <w:kern w:val="0"/>
                <w:sz w:val="12"/>
                <w:szCs w:val="12"/>
              </w:rPr>
              <w:t>The uncertainty of CO2 and CH4 in EDGAR was based on 2 s</w:t>
            </w:r>
            <w:r>
              <w:rPr>
                <w:rFonts w:ascii="Times New Roman" w:eastAsia="宋体" w:hAnsi="Times New Roman" w:cs="Times New Roman" w:hint="eastAsia"/>
                <w:color w:val="000000"/>
                <w:kern w:val="0"/>
                <w:sz w:val="12"/>
                <w:szCs w:val="12"/>
              </w:rPr>
              <w:t>tandard deviations (std.)</w:t>
            </w:r>
            <w:r w:rsidRPr="00104EBD">
              <w:rPr>
                <w:rFonts w:ascii="Times New Roman" w:eastAsia="宋体" w:hAnsi="Times New Roman" w:cs="Times New Roman"/>
                <w:color w:val="000000"/>
                <w:kern w:val="0"/>
                <w:sz w:val="12"/>
                <w:szCs w:val="12"/>
              </w:rPr>
              <w:t>,</w:t>
            </w:r>
            <w:r>
              <w:rPr>
                <w:rFonts w:ascii="Times New Roman" w:eastAsia="宋体" w:hAnsi="Times New Roman" w:cs="Times New Roman" w:hint="eastAsia"/>
                <w:color w:val="000000"/>
                <w:kern w:val="0"/>
                <w:sz w:val="12"/>
                <w:szCs w:val="12"/>
              </w:rPr>
              <w:t xml:space="preserve"> and </w:t>
            </w:r>
            <w:r w:rsidRPr="00104EBD">
              <w:rPr>
                <w:rFonts w:ascii="Times New Roman" w:eastAsia="宋体" w:hAnsi="Times New Roman" w:cs="Times New Roman"/>
                <w:color w:val="000000"/>
                <w:kern w:val="0"/>
                <w:sz w:val="12"/>
                <w:szCs w:val="12"/>
              </w:rPr>
              <w:t xml:space="preserve">others were 1 std. </w:t>
            </w:r>
          </w:p>
        </w:tc>
      </w:tr>
    </w:tbl>
    <w:p w14:paraId="2E3DC682" w14:textId="77777777" w:rsidR="00104EBD" w:rsidRDefault="00104EBD" w:rsidP="00BA3F33">
      <w:pPr>
        <w:jc w:val="left"/>
        <w:rPr>
          <w:rFonts w:ascii="Times New Roman" w:hAnsi="Times New Roman" w:cs="Times New Roman" w:hint="eastAsia"/>
          <w:szCs w:val="21"/>
        </w:rPr>
      </w:pPr>
    </w:p>
    <w:p w14:paraId="39F57D6B" w14:textId="08494B2A" w:rsidR="006A397B" w:rsidRDefault="003325A0" w:rsidP="00BA3F33">
      <w:pPr>
        <w:jc w:val="left"/>
        <w:rPr>
          <w:rFonts w:ascii="Times New Roman" w:hAnsi="Times New Roman" w:cs="Times New Roman"/>
          <w:szCs w:val="21"/>
        </w:rPr>
      </w:pPr>
      <w:r>
        <w:rPr>
          <w:rFonts w:ascii="Times New Roman" w:hAnsi="Times New Roman" w:cs="Times New Roman" w:hint="eastAsia"/>
          <w:szCs w:val="21"/>
        </w:rPr>
        <w:t>References</w:t>
      </w:r>
    </w:p>
    <w:p w14:paraId="7279EE29" w14:textId="77777777" w:rsidR="00400D1C" w:rsidRPr="00400D1C" w:rsidRDefault="006A397B" w:rsidP="00400D1C">
      <w:pPr>
        <w:jc w:val="left"/>
        <w:rPr>
          <w:rFonts w:ascii="等线" w:eastAsia="等线" w:hAnsi="等线" w:cs="Times New Roman"/>
          <w:noProof/>
          <w:sz w:val="20"/>
          <w:szCs w:val="21"/>
        </w:rPr>
      </w:pPr>
      <w:r>
        <w:rPr>
          <w:rFonts w:ascii="Times New Roman" w:hAnsi="Times New Roman" w:cs="Times New Roman"/>
          <w:szCs w:val="21"/>
        </w:rPr>
        <w:fldChar w:fldCharType="begin"/>
      </w:r>
      <w:r>
        <w:rPr>
          <w:rFonts w:ascii="Times New Roman" w:hAnsi="Times New Roman" w:cs="Times New Roman"/>
          <w:szCs w:val="21"/>
        </w:rPr>
        <w:instrText xml:space="preserve"> ADDIN EN.REFLIST </w:instrText>
      </w:r>
      <w:r>
        <w:rPr>
          <w:rFonts w:ascii="Times New Roman" w:hAnsi="Times New Roman" w:cs="Times New Roman"/>
          <w:szCs w:val="21"/>
        </w:rPr>
        <w:fldChar w:fldCharType="separate"/>
      </w:r>
      <w:bookmarkStart w:id="1" w:name="_ENREF_1"/>
      <w:r w:rsidR="00400D1C" w:rsidRPr="00400D1C">
        <w:rPr>
          <w:rFonts w:ascii="等线" w:eastAsia="等线" w:hAnsi="等线" w:cs="Times New Roman"/>
          <w:noProof/>
          <w:sz w:val="20"/>
          <w:szCs w:val="21"/>
        </w:rPr>
        <w:t>1.</w:t>
      </w:r>
      <w:r w:rsidR="00400D1C" w:rsidRPr="00400D1C">
        <w:rPr>
          <w:rFonts w:ascii="等线" w:eastAsia="等线" w:hAnsi="等线" w:cs="Times New Roman"/>
          <w:noProof/>
          <w:sz w:val="20"/>
          <w:szCs w:val="21"/>
        </w:rPr>
        <w:tab/>
        <w:t>Kurokawa J, Ohara T. Long-term historical trends in air pollutant emissions in Asia: Regional Emission inventory in ASia (REAS) version 3. Atmospheric Chemistry and Physics. 2020;20(21):12761-93.</w:t>
      </w:r>
      <w:bookmarkEnd w:id="1"/>
    </w:p>
    <w:p w14:paraId="05FA8F92" w14:textId="77777777" w:rsidR="00400D1C" w:rsidRPr="00400D1C" w:rsidRDefault="00400D1C" w:rsidP="00400D1C">
      <w:pPr>
        <w:jc w:val="left"/>
        <w:rPr>
          <w:rFonts w:ascii="等线" w:eastAsia="等线" w:hAnsi="等线" w:cs="Times New Roman"/>
          <w:noProof/>
          <w:sz w:val="20"/>
          <w:szCs w:val="21"/>
        </w:rPr>
      </w:pPr>
      <w:bookmarkStart w:id="2" w:name="_ENREF_2"/>
      <w:r w:rsidRPr="00400D1C">
        <w:rPr>
          <w:rFonts w:ascii="等线" w:eastAsia="等线" w:hAnsi="等线" w:cs="Times New Roman"/>
          <w:noProof/>
          <w:sz w:val="20"/>
          <w:szCs w:val="21"/>
        </w:rPr>
        <w:t>2.</w:t>
      </w:r>
      <w:r w:rsidRPr="00400D1C">
        <w:rPr>
          <w:rFonts w:ascii="等线" w:eastAsia="等线" w:hAnsi="等线" w:cs="Times New Roman"/>
          <w:noProof/>
          <w:sz w:val="20"/>
          <w:szCs w:val="21"/>
        </w:rPr>
        <w:tab/>
        <w:t>Zhao Y, Zhang J, Nielsen C. The effects of recent control policies on trends in emissions of anthropogenic atmospheric pollutants and CO 2 in China. Atmospheric Chemistry and Physics. 2013;13(2):487-508.</w:t>
      </w:r>
      <w:bookmarkEnd w:id="2"/>
    </w:p>
    <w:p w14:paraId="132F4DDE" w14:textId="77777777" w:rsidR="00400D1C" w:rsidRPr="00400D1C" w:rsidRDefault="00400D1C" w:rsidP="00400D1C">
      <w:pPr>
        <w:jc w:val="left"/>
        <w:rPr>
          <w:rFonts w:ascii="等线" w:eastAsia="等线" w:hAnsi="等线" w:cs="Times New Roman"/>
          <w:noProof/>
          <w:sz w:val="20"/>
          <w:szCs w:val="21"/>
        </w:rPr>
      </w:pPr>
      <w:bookmarkStart w:id="3" w:name="_ENREF_3"/>
      <w:r w:rsidRPr="00400D1C">
        <w:rPr>
          <w:rFonts w:ascii="等线" w:eastAsia="等线" w:hAnsi="等线" w:cs="Times New Roman"/>
          <w:noProof/>
          <w:sz w:val="20"/>
          <w:szCs w:val="21"/>
        </w:rPr>
        <w:t>3.</w:t>
      </w:r>
      <w:r w:rsidRPr="00400D1C">
        <w:rPr>
          <w:rFonts w:ascii="等线" w:eastAsia="等线" w:hAnsi="等线" w:cs="Times New Roman"/>
          <w:noProof/>
          <w:sz w:val="20"/>
          <w:szCs w:val="21"/>
        </w:rPr>
        <w:tab/>
        <w:t>Zhang Q, Streets DG, Carmichael GR, He KB, Huo H, Kannari A, et al. Asian emissions in 2006 for the NASA INTEX-B mission. Atmos Chem Phys. 2009;9(14):5131-53.</w:t>
      </w:r>
      <w:bookmarkEnd w:id="3"/>
    </w:p>
    <w:p w14:paraId="392E8393" w14:textId="77777777" w:rsidR="00400D1C" w:rsidRPr="00400D1C" w:rsidRDefault="00400D1C" w:rsidP="00400D1C">
      <w:pPr>
        <w:jc w:val="left"/>
        <w:rPr>
          <w:rFonts w:ascii="等线" w:eastAsia="等线" w:hAnsi="等线" w:cs="Times New Roman"/>
          <w:noProof/>
          <w:sz w:val="20"/>
          <w:szCs w:val="21"/>
        </w:rPr>
      </w:pPr>
      <w:bookmarkStart w:id="4" w:name="_ENREF_4"/>
      <w:r w:rsidRPr="00400D1C">
        <w:rPr>
          <w:rFonts w:ascii="等线" w:eastAsia="等线" w:hAnsi="等线" w:cs="Times New Roman"/>
          <w:noProof/>
          <w:sz w:val="20"/>
          <w:szCs w:val="21"/>
        </w:rPr>
        <w:t>4.</w:t>
      </w:r>
      <w:r w:rsidRPr="00400D1C">
        <w:rPr>
          <w:rFonts w:ascii="等线" w:eastAsia="等线" w:hAnsi="等线" w:cs="Times New Roman"/>
          <w:noProof/>
          <w:sz w:val="20"/>
          <w:szCs w:val="21"/>
        </w:rPr>
        <w:tab/>
        <w:t>Janssens-Maenhout G, Crippa M, Guizzardi D, Muntean M, Schaaf E, Dentener F, et al. EDGAR v4.3.2 Global Atlas of the three major greenhouse gas emissions for the period 1970–2012. Earth Syst Sci Data. 2019;11(3):959-1002.</w:t>
      </w:r>
      <w:bookmarkEnd w:id="4"/>
    </w:p>
    <w:p w14:paraId="1C979D61" w14:textId="77777777" w:rsidR="00400D1C" w:rsidRPr="00400D1C" w:rsidRDefault="00400D1C" w:rsidP="00400D1C">
      <w:pPr>
        <w:jc w:val="left"/>
        <w:rPr>
          <w:rFonts w:ascii="等线" w:eastAsia="等线" w:hAnsi="等线" w:cs="Times New Roman"/>
          <w:noProof/>
          <w:sz w:val="20"/>
          <w:szCs w:val="21"/>
        </w:rPr>
      </w:pPr>
      <w:bookmarkStart w:id="5" w:name="_ENREF_5"/>
      <w:r w:rsidRPr="00400D1C">
        <w:rPr>
          <w:rFonts w:ascii="等线" w:eastAsia="等线" w:hAnsi="等线" w:cs="Times New Roman"/>
          <w:noProof/>
          <w:sz w:val="20"/>
          <w:szCs w:val="21"/>
        </w:rPr>
        <w:t>5.</w:t>
      </w:r>
      <w:r w:rsidRPr="00400D1C">
        <w:rPr>
          <w:rFonts w:ascii="等线" w:eastAsia="等线" w:hAnsi="等线" w:cs="Times New Roman"/>
          <w:noProof/>
          <w:sz w:val="20"/>
          <w:szCs w:val="21"/>
        </w:rPr>
        <w:tab/>
        <w:t>Crippa M, Guizzardi D, Muntean M, Schaaf E, Dentener F, van Aardenne JA, et al. Gridded emissions of air pollutants for the period 1970–2012 within EDGAR v4.3.2. Earth Syst Sci Data. 2018;10(4):1987-2013.</w:t>
      </w:r>
      <w:bookmarkEnd w:id="5"/>
    </w:p>
    <w:p w14:paraId="5FD186FE" w14:textId="487A72EC" w:rsidR="00400D1C" w:rsidRDefault="00400D1C" w:rsidP="00400D1C">
      <w:pPr>
        <w:jc w:val="left"/>
        <w:rPr>
          <w:rFonts w:ascii="等线" w:eastAsia="等线" w:hAnsi="等线" w:cs="Times New Roman"/>
          <w:noProof/>
          <w:sz w:val="20"/>
          <w:szCs w:val="21"/>
        </w:rPr>
      </w:pPr>
    </w:p>
    <w:p w14:paraId="126496A2" w14:textId="313BD7C6" w:rsidR="003325A0" w:rsidRPr="003325A0" w:rsidRDefault="006A397B" w:rsidP="00BA3F33">
      <w:pPr>
        <w:jc w:val="left"/>
        <w:rPr>
          <w:rFonts w:ascii="Times New Roman" w:hAnsi="Times New Roman" w:cs="Times New Roman"/>
          <w:szCs w:val="21"/>
        </w:rPr>
      </w:pPr>
      <w:r>
        <w:rPr>
          <w:rFonts w:ascii="Times New Roman" w:hAnsi="Times New Roman" w:cs="Times New Roman"/>
          <w:szCs w:val="21"/>
        </w:rPr>
        <w:fldChar w:fldCharType="end"/>
      </w:r>
    </w:p>
    <w:sectPr w:rsidR="003325A0" w:rsidRPr="003325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ACD499" w14:textId="77777777" w:rsidR="00A1732C" w:rsidRDefault="00A1732C" w:rsidP="007F0EE6">
      <w:r>
        <w:separator/>
      </w:r>
    </w:p>
  </w:endnote>
  <w:endnote w:type="continuationSeparator" w:id="0">
    <w:p w14:paraId="1932A502" w14:textId="77777777" w:rsidR="00A1732C" w:rsidRDefault="00A1732C" w:rsidP="007F0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4872D8" w14:textId="77777777" w:rsidR="00A1732C" w:rsidRDefault="00A1732C" w:rsidP="007F0EE6">
      <w:r>
        <w:separator/>
      </w:r>
    </w:p>
  </w:footnote>
  <w:footnote w:type="continuationSeparator" w:id="0">
    <w:p w14:paraId="134C0919" w14:textId="77777777" w:rsidR="00A1732C" w:rsidRDefault="00A1732C" w:rsidP="007F0E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xd2dprt5v2wa2tep9eevsae9zpxza0xsdfza&quot;&gt;GHG&lt;record-ids&gt;&lt;item&gt;42&lt;/item&gt;&lt;item&gt;57&lt;/item&gt;&lt;item&gt;90&lt;/item&gt;&lt;item&gt;91&lt;/item&gt;&lt;item&gt;92&lt;/item&gt;&lt;/record-ids&gt;&lt;/item&gt;&lt;/Libraries&gt;"/>
  </w:docVars>
  <w:rsids>
    <w:rsidRoot w:val="001A373D"/>
    <w:rsid w:val="000E6D32"/>
    <w:rsid w:val="00104EBD"/>
    <w:rsid w:val="001A373D"/>
    <w:rsid w:val="00267E71"/>
    <w:rsid w:val="002A7FB0"/>
    <w:rsid w:val="003325A0"/>
    <w:rsid w:val="00345F94"/>
    <w:rsid w:val="003527CA"/>
    <w:rsid w:val="00400D1C"/>
    <w:rsid w:val="00434E9E"/>
    <w:rsid w:val="005756CD"/>
    <w:rsid w:val="006A397B"/>
    <w:rsid w:val="0073206E"/>
    <w:rsid w:val="0074194A"/>
    <w:rsid w:val="007F0EE6"/>
    <w:rsid w:val="008728BD"/>
    <w:rsid w:val="00960B77"/>
    <w:rsid w:val="00A1732C"/>
    <w:rsid w:val="00A31C2C"/>
    <w:rsid w:val="00A676B5"/>
    <w:rsid w:val="00AA7F8F"/>
    <w:rsid w:val="00BA3F33"/>
    <w:rsid w:val="00BA4805"/>
    <w:rsid w:val="00C27B6A"/>
    <w:rsid w:val="00E032E4"/>
    <w:rsid w:val="00F17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D48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F0EE6"/>
    <w:rPr>
      <w:sz w:val="18"/>
      <w:szCs w:val="18"/>
    </w:rPr>
  </w:style>
  <w:style w:type="character" w:customStyle="1" w:styleId="Char">
    <w:name w:val="批注框文本 Char"/>
    <w:basedOn w:val="a0"/>
    <w:link w:val="a3"/>
    <w:uiPriority w:val="99"/>
    <w:semiHidden/>
    <w:rsid w:val="007F0EE6"/>
    <w:rPr>
      <w:sz w:val="18"/>
      <w:szCs w:val="18"/>
    </w:rPr>
  </w:style>
  <w:style w:type="paragraph" w:styleId="a4">
    <w:name w:val="header"/>
    <w:basedOn w:val="a"/>
    <w:link w:val="Char0"/>
    <w:uiPriority w:val="99"/>
    <w:unhideWhenUsed/>
    <w:rsid w:val="007F0E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F0EE6"/>
    <w:rPr>
      <w:sz w:val="18"/>
      <w:szCs w:val="18"/>
    </w:rPr>
  </w:style>
  <w:style w:type="paragraph" w:styleId="a5">
    <w:name w:val="footer"/>
    <w:basedOn w:val="a"/>
    <w:link w:val="Char1"/>
    <w:uiPriority w:val="99"/>
    <w:unhideWhenUsed/>
    <w:rsid w:val="007F0EE6"/>
    <w:pPr>
      <w:tabs>
        <w:tab w:val="center" w:pos="4153"/>
        <w:tab w:val="right" w:pos="8306"/>
      </w:tabs>
      <w:snapToGrid w:val="0"/>
      <w:jc w:val="left"/>
    </w:pPr>
    <w:rPr>
      <w:sz w:val="18"/>
      <w:szCs w:val="18"/>
    </w:rPr>
  </w:style>
  <w:style w:type="character" w:customStyle="1" w:styleId="Char1">
    <w:name w:val="页脚 Char"/>
    <w:basedOn w:val="a0"/>
    <w:link w:val="a5"/>
    <w:uiPriority w:val="99"/>
    <w:rsid w:val="007F0EE6"/>
    <w:rPr>
      <w:sz w:val="18"/>
      <w:szCs w:val="18"/>
    </w:rPr>
  </w:style>
  <w:style w:type="character" w:styleId="a6">
    <w:name w:val="Hyperlink"/>
    <w:basedOn w:val="a0"/>
    <w:uiPriority w:val="99"/>
    <w:unhideWhenUsed/>
    <w:rsid w:val="003527CA"/>
    <w:rPr>
      <w:color w:val="0563C1"/>
      <w:u w:val="single"/>
    </w:rPr>
  </w:style>
  <w:style w:type="paragraph" w:customStyle="1" w:styleId="MStitle">
    <w:name w:val="MS title"/>
    <w:basedOn w:val="a"/>
    <w:link w:val="MStitleChar"/>
    <w:qFormat/>
    <w:rsid w:val="003527CA"/>
    <w:pPr>
      <w:widowControl/>
      <w:spacing w:before="360" w:line="440" w:lineRule="exact"/>
      <w:contextualSpacing/>
    </w:pPr>
    <w:rPr>
      <w:rFonts w:ascii="Times New Roman" w:eastAsia="Times New Roman" w:hAnsi="Times New Roman" w:cs="Times New Roman"/>
      <w:b/>
      <w:kern w:val="0"/>
      <w:sz w:val="34"/>
      <w:szCs w:val="24"/>
      <w:lang w:val="en-GB" w:eastAsia="de-DE"/>
    </w:rPr>
  </w:style>
  <w:style w:type="character" w:customStyle="1" w:styleId="MStitleChar">
    <w:name w:val="MS title Char"/>
    <w:basedOn w:val="a0"/>
    <w:link w:val="MStitle"/>
    <w:rsid w:val="003527CA"/>
    <w:rPr>
      <w:rFonts w:ascii="Times New Roman" w:eastAsia="Times New Roman" w:hAnsi="Times New Roman" w:cs="Times New Roman"/>
      <w:b/>
      <w:kern w:val="0"/>
      <w:sz w:val="34"/>
      <w:szCs w:val="24"/>
      <w:lang w:val="en-GB"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F0EE6"/>
    <w:rPr>
      <w:sz w:val="18"/>
      <w:szCs w:val="18"/>
    </w:rPr>
  </w:style>
  <w:style w:type="character" w:customStyle="1" w:styleId="Char">
    <w:name w:val="批注框文本 Char"/>
    <w:basedOn w:val="a0"/>
    <w:link w:val="a3"/>
    <w:uiPriority w:val="99"/>
    <w:semiHidden/>
    <w:rsid w:val="007F0EE6"/>
    <w:rPr>
      <w:sz w:val="18"/>
      <w:szCs w:val="18"/>
    </w:rPr>
  </w:style>
  <w:style w:type="paragraph" w:styleId="a4">
    <w:name w:val="header"/>
    <w:basedOn w:val="a"/>
    <w:link w:val="Char0"/>
    <w:uiPriority w:val="99"/>
    <w:unhideWhenUsed/>
    <w:rsid w:val="007F0E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F0EE6"/>
    <w:rPr>
      <w:sz w:val="18"/>
      <w:szCs w:val="18"/>
    </w:rPr>
  </w:style>
  <w:style w:type="paragraph" w:styleId="a5">
    <w:name w:val="footer"/>
    <w:basedOn w:val="a"/>
    <w:link w:val="Char1"/>
    <w:uiPriority w:val="99"/>
    <w:unhideWhenUsed/>
    <w:rsid w:val="007F0EE6"/>
    <w:pPr>
      <w:tabs>
        <w:tab w:val="center" w:pos="4153"/>
        <w:tab w:val="right" w:pos="8306"/>
      </w:tabs>
      <w:snapToGrid w:val="0"/>
      <w:jc w:val="left"/>
    </w:pPr>
    <w:rPr>
      <w:sz w:val="18"/>
      <w:szCs w:val="18"/>
    </w:rPr>
  </w:style>
  <w:style w:type="character" w:customStyle="1" w:styleId="Char1">
    <w:name w:val="页脚 Char"/>
    <w:basedOn w:val="a0"/>
    <w:link w:val="a5"/>
    <w:uiPriority w:val="99"/>
    <w:rsid w:val="007F0EE6"/>
    <w:rPr>
      <w:sz w:val="18"/>
      <w:szCs w:val="18"/>
    </w:rPr>
  </w:style>
  <w:style w:type="character" w:styleId="a6">
    <w:name w:val="Hyperlink"/>
    <w:basedOn w:val="a0"/>
    <w:uiPriority w:val="99"/>
    <w:unhideWhenUsed/>
    <w:rsid w:val="003527CA"/>
    <w:rPr>
      <w:color w:val="0563C1"/>
      <w:u w:val="single"/>
    </w:rPr>
  </w:style>
  <w:style w:type="paragraph" w:customStyle="1" w:styleId="MStitle">
    <w:name w:val="MS title"/>
    <w:basedOn w:val="a"/>
    <w:link w:val="MStitleChar"/>
    <w:qFormat/>
    <w:rsid w:val="003527CA"/>
    <w:pPr>
      <w:widowControl/>
      <w:spacing w:before="360" w:line="440" w:lineRule="exact"/>
      <w:contextualSpacing/>
    </w:pPr>
    <w:rPr>
      <w:rFonts w:ascii="Times New Roman" w:eastAsia="Times New Roman" w:hAnsi="Times New Roman" w:cs="Times New Roman"/>
      <w:b/>
      <w:kern w:val="0"/>
      <w:sz w:val="34"/>
      <w:szCs w:val="24"/>
      <w:lang w:val="en-GB" w:eastAsia="de-DE"/>
    </w:rPr>
  </w:style>
  <w:style w:type="character" w:customStyle="1" w:styleId="MStitleChar">
    <w:name w:val="MS title Char"/>
    <w:basedOn w:val="a0"/>
    <w:link w:val="MStitle"/>
    <w:rsid w:val="003527CA"/>
    <w:rPr>
      <w:rFonts w:ascii="Times New Roman" w:eastAsia="Times New Roman" w:hAnsi="Times New Roman" w:cs="Times New Roman"/>
      <w:b/>
      <w:kern w:val="0"/>
      <w:sz w:val="34"/>
      <w:szCs w:val="24"/>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658911">
      <w:bodyDiv w:val="1"/>
      <w:marLeft w:val="0"/>
      <w:marRight w:val="0"/>
      <w:marTop w:val="0"/>
      <w:marBottom w:val="0"/>
      <w:divBdr>
        <w:top w:val="none" w:sz="0" w:space="0" w:color="auto"/>
        <w:left w:val="none" w:sz="0" w:space="0" w:color="auto"/>
        <w:bottom w:val="none" w:sz="0" w:space="0" w:color="auto"/>
        <w:right w:val="none" w:sz="0" w:space="0" w:color="auto"/>
      </w:divBdr>
    </w:div>
    <w:div w:id="1240366745">
      <w:bodyDiv w:val="1"/>
      <w:marLeft w:val="0"/>
      <w:marRight w:val="0"/>
      <w:marTop w:val="0"/>
      <w:marBottom w:val="0"/>
      <w:divBdr>
        <w:top w:val="none" w:sz="0" w:space="0" w:color="auto"/>
        <w:left w:val="none" w:sz="0" w:space="0" w:color="auto"/>
        <w:bottom w:val="none" w:sz="0" w:space="0" w:color="auto"/>
        <w:right w:val="none" w:sz="0" w:space="0" w:color="auto"/>
      </w:divBdr>
    </w:div>
    <w:div w:id="1301610992">
      <w:bodyDiv w:val="1"/>
      <w:marLeft w:val="0"/>
      <w:marRight w:val="0"/>
      <w:marTop w:val="0"/>
      <w:marBottom w:val="0"/>
      <w:divBdr>
        <w:top w:val="none" w:sz="0" w:space="0" w:color="auto"/>
        <w:left w:val="none" w:sz="0" w:space="0" w:color="auto"/>
        <w:bottom w:val="none" w:sz="0" w:space="0" w:color="auto"/>
        <w:right w:val="none" w:sz="0" w:space="0" w:color="auto"/>
      </w:divBdr>
    </w:div>
    <w:div w:id="1776514359">
      <w:bodyDiv w:val="1"/>
      <w:marLeft w:val="0"/>
      <w:marRight w:val="0"/>
      <w:marTop w:val="0"/>
      <w:marBottom w:val="0"/>
      <w:divBdr>
        <w:top w:val="none" w:sz="0" w:space="0" w:color="auto"/>
        <w:left w:val="none" w:sz="0" w:space="0" w:color="auto"/>
        <w:bottom w:val="none" w:sz="0" w:space="0" w:color="auto"/>
        <w:right w:val="none" w:sz="0" w:space="0" w:color="auto"/>
      </w:divBdr>
    </w:div>
    <w:div w:id="1860503473">
      <w:bodyDiv w:val="1"/>
      <w:marLeft w:val="0"/>
      <w:marRight w:val="0"/>
      <w:marTop w:val="0"/>
      <w:marBottom w:val="0"/>
      <w:divBdr>
        <w:top w:val="none" w:sz="0" w:space="0" w:color="auto"/>
        <w:left w:val="none" w:sz="0" w:space="0" w:color="auto"/>
        <w:bottom w:val="none" w:sz="0" w:space="0" w:color="auto"/>
        <w:right w:val="none" w:sz="0" w:space="0" w:color="auto"/>
      </w:divBdr>
    </w:div>
    <w:div w:id="1937980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nxh@mail.iap.ac.cn"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mailto:zhw@mail.iap.ac.cn" TargetMode="External"/><Relationship Id="rId12" Type="http://schemas.openxmlformats.org/officeDocument/2006/relationships/image" Target="media/image4.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5</Pages>
  <Words>1020</Words>
  <Characters>5815</Characters>
  <Application>Microsoft Office Word</Application>
  <DocSecurity>0</DocSecurity>
  <Lines>48</Lines>
  <Paragraphs>13</Paragraphs>
  <ScaleCrop>false</ScaleCrop>
  <Company/>
  <LinksUpToDate>false</LinksUpToDate>
  <CharactersWithSpaces>6822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hangp</cp:lastModifiedBy>
  <cp:revision>21</cp:revision>
  <dcterms:created xsi:type="dcterms:W3CDTF">2021-08-04T09:26:00Z</dcterms:created>
  <dcterms:modified xsi:type="dcterms:W3CDTF">2021-12-31T08:35:00Z</dcterms:modified>
</cp:coreProperties>
</file>