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5FD1" w:rsidRPr="00226A6F" w:rsidRDefault="00EF5FD1" w:rsidP="00EF5FD1">
      <w:pPr>
        <w:pStyle w:val="Heading1"/>
        <w:rPr>
          <w:rFonts w:eastAsia="Times New Roman"/>
        </w:rPr>
      </w:pPr>
      <w:r w:rsidRPr="00226A6F">
        <w:t xml:space="preserve">Appendix 1: </w:t>
      </w:r>
      <w:r w:rsidRPr="00226A6F">
        <w:rPr>
          <w:rFonts w:eastAsia="Times New Roman"/>
        </w:rPr>
        <w:t xml:space="preserve">Search strategies </w:t>
      </w:r>
    </w:p>
    <w:p w:rsidR="00EF5FD1" w:rsidRPr="00226A6F" w:rsidRDefault="00EF5FD1" w:rsidP="00EF5FD1">
      <w:pPr>
        <w:pStyle w:val="ListParagraph"/>
        <w:numPr>
          <w:ilvl w:val="0"/>
          <w:numId w:val="1"/>
        </w:numPr>
        <w:spacing w:line="259" w:lineRule="auto"/>
        <w:rPr>
          <w:rFonts w:ascii="Calibri" w:eastAsia="Calibri" w:hAnsi="Calibri" w:cs="Calibri"/>
          <w:b/>
        </w:rPr>
      </w:pPr>
      <w:r w:rsidRPr="00226A6F">
        <w:rPr>
          <w:rFonts w:ascii="Calibri" w:eastAsia="Calibri" w:hAnsi="Calibri" w:cs="Calibri"/>
          <w:b/>
        </w:rPr>
        <w:t>Pubmed</w:t>
      </w:r>
    </w:p>
    <w:p w:rsidR="00EF5FD1" w:rsidRPr="00226A6F" w:rsidRDefault="00EF5FD1" w:rsidP="00EF5FD1">
      <w:pPr>
        <w:rPr>
          <w:rFonts w:ascii="Calibri" w:eastAsia="Calibri" w:hAnsi="Calibri" w:cs="Calibri"/>
        </w:rPr>
      </w:pPr>
      <w:r w:rsidRPr="00226A6F">
        <w:rPr>
          <w:rFonts w:ascii="Calibri" w:eastAsia="Calibri" w:hAnsi="Calibri" w:cs="Calibri"/>
        </w:rPr>
        <w:t>Search strategy</w:t>
      </w:r>
    </w:p>
    <w:p w:rsidR="00EF5FD1" w:rsidRPr="00226A6F" w:rsidRDefault="00EF5FD1" w:rsidP="00EF5FD1">
      <w:pPr>
        <w:rPr>
          <w:rFonts w:ascii="Calibri" w:eastAsia="Calibri" w:hAnsi="Calibri" w:cs="Calibri"/>
          <w:b/>
        </w:rPr>
      </w:pPr>
      <w:r w:rsidRPr="00226A6F">
        <w:rPr>
          <w:rFonts w:ascii="Calibri" w:eastAsia="Calibri" w:hAnsi="Calibri" w:cs="Calibri"/>
        </w:rPr>
        <w:t>-------------------------------------------------------------------------------</w:t>
      </w:r>
    </w:p>
    <w:p w:rsidR="00EF5FD1" w:rsidRPr="00226A6F" w:rsidRDefault="00EF5FD1" w:rsidP="00EF5FD1">
      <w:pPr>
        <w:rPr>
          <w:rFonts w:ascii="Calibri" w:eastAsia="Calibri" w:hAnsi="Calibri" w:cs="Calibri"/>
        </w:rPr>
      </w:pPr>
      <w:r w:rsidRPr="00226A6F">
        <w:rPr>
          <w:rFonts w:ascii="Calibri" w:eastAsia="Calibri" w:hAnsi="Calibri" w:cs="Calibri"/>
        </w:rPr>
        <w:t xml:space="preserve">("antitubercular agents"[MeSH Terms] OR ((("tuberculosis"[Title/Abstract] OR "TB"[Title/Abstract]) OR "tuberculosis"[MeSH Terms]) OR ("MDR-TB"[Title/Abstract] OR "XDR-TB"[Title/Abstract]))) AND (("dzherelo"[Supplementary Concept] OR "dzherelo"[All Fields]) OR "Immunoxel"[All Fields]) </w:t>
      </w:r>
    </w:p>
    <w:p w:rsidR="00EF5FD1" w:rsidRPr="00226A6F" w:rsidRDefault="00EF5FD1" w:rsidP="00EF5FD1">
      <w:pPr>
        <w:pStyle w:val="ListParagraph"/>
        <w:numPr>
          <w:ilvl w:val="0"/>
          <w:numId w:val="1"/>
        </w:numPr>
        <w:spacing w:line="259" w:lineRule="auto"/>
        <w:rPr>
          <w:rFonts w:ascii="Calibri" w:eastAsia="Calibri" w:hAnsi="Calibri" w:cs="Calibri"/>
          <w:b/>
        </w:rPr>
      </w:pPr>
      <w:r w:rsidRPr="00226A6F">
        <w:rPr>
          <w:rFonts w:ascii="Calibri" w:eastAsia="Calibri" w:hAnsi="Calibri" w:cs="Calibri"/>
          <w:b/>
        </w:rPr>
        <w:t>Database: Embase 1947-Present, updated daily</w:t>
      </w:r>
    </w:p>
    <w:p w:rsidR="00EF5FD1" w:rsidRPr="00226A6F" w:rsidRDefault="00EF5FD1" w:rsidP="00EF5FD1">
      <w:pPr>
        <w:rPr>
          <w:rFonts w:ascii="Calibri" w:eastAsia="Calibri" w:hAnsi="Calibri" w:cs="Calibri"/>
        </w:rPr>
      </w:pPr>
      <w:r w:rsidRPr="00226A6F">
        <w:rPr>
          <w:rFonts w:ascii="Calibri" w:eastAsia="Calibri" w:hAnsi="Calibri" w:cs="Calibri"/>
        </w:rPr>
        <w:t>Search Strategy</w:t>
      </w:r>
    </w:p>
    <w:p w:rsidR="00EF5FD1" w:rsidRPr="00226A6F" w:rsidRDefault="00EF5FD1" w:rsidP="00EF5FD1">
      <w:pPr>
        <w:rPr>
          <w:rFonts w:ascii="Calibri" w:eastAsia="Calibri" w:hAnsi="Calibri" w:cs="Calibri"/>
        </w:rPr>
      </w:pPr>
      <w:r w:rsidRPr="00226A6F">
        <w:rPr>
          <w:rFonts w:ascii="Calibri" w:eastAsia="Calibri" w:hAnsi="Calibri" w:cs="Calibri"/>
        </w:rPr>
        <w:t>--------------------------------------------------------------------------------</w:t>
      </w:r>
    </w:p>
    <w:p w:rsidR="00EF5FD1" w:rsidRPr="00226A6F" w:rsidRDefault="00EF5FD1" w:rsidP="00EF5FD1">
      <w:pPr>
        <w:rPr>
          <w:rFonts w:ascii="Calibri" w:eastAsia="Calibri" w:hAnsi="Calibri" w:cs="Calibri"/>
        </w:rPr>
      </w:pPr>
      <w:r w:rsidRPr="00226A6F">
        <w:rPr>
          <w:rFonts w:ascii="Calibri" w:eastAsia="Calibri" w:hAnsi="Calibri" w:cs="Calibri"/>
        </w:rPr>
        <w:t>1     tuberculosis.mp. or tuberculosis/ (311371)</w:t>
      </w:r>
    </w:p>
    <w:p w:rsidR="00EF5FD1" w:rsidRPr="00226A6F" w:rsidRDefault="00EF5FD1" w:rsidP="00EF5FD1">
      <w:pPr>
        <w:rPr>
          <w:rFonts w:ascii="Calibri" w:eastAsia="Calibri" w:hAnsi="Calibri" w:cs="Calibri"/>
        </w:rPr>
      </w:pPr>
      <w:r w:rsidRPr="00226A6F">
        <w:rPr>
          <w:rFonts w:ascii="Calibri" w:eastAsia="Calibri" w:hAnsi="Calibri" w:cs="Calibri"/>
        </w:rPr>
        <w:t>2     (MDR-TB or XDR-TB).mp. [mp=title, abstract, heading word, drug trade name, original title, device manufacturer, drug manufacturer, device trade name, keyword, floating subheading word, candidate term word] (6110)</w:t>
      </w:r>
    </w:p>
    <w:p w:rsidR="00EF5FD1" w:rsidRPr="00226A6F" w:rsidRDefault="00EF5FD1" w:rsidP="00EF5FD1">
      <w:pPr>
        <w:rPr>
          <w:rFonts w:ascii="Calibri" w:eastAsia="Calibri" w:hAnsi="Calibri" w:cs="Calibri"/>
        </w:rPr>
      </w:pPr>
      <w:r w:rsidRPr="00226A6F">
        <w:rPr>
          <w:rFonts w:ascii="Calibri" w:eastAsia="Calibri" w:hAnsi="Calibri" w:cs="Calibri"/>
        </w:rPr>
        <w:t>3     multidrug-resistant tuberculosis.mp. or multidrug resistant tuberculosis/ (9170)</w:t>
      </w:r>
    </w:p>
    <w:p w:rsidR="00EF5FD1" w:rsidRPr="00226A6F" w:rsidRDefault="00EF5FD1" w:rsidP="00EF5FD1">
      <w:pPr>
        <w:rPr>
          <w:rFonts w:ascii="Calibri" w:eastAsia="Calibri" w:hAnsi="Calibri" w:cs="Calibri"/>
        </w:rPr>
      </w:pPr>
      <w:r w:rsidRPr="00226A6F">
        <w:rPr>
          <w:rFonts w:ascii="Calibri" w:eastAsia="Calibri" w:hAnsi="Calibri" w:cs="Calibri"/>
        </w:rPr>
        <w:t>4     extensively drug resistant tuberculosis/ (1989)</w:t>
      </w:r>
    </w:p>
    <w:p w:rsidR="00EF5FD1" w:rsidRPr="00226A6F" w:rsidRDefault="00EF5FD1" w:rsidP="00EF5FD1">
      <w:pPr>
        <w:rPr>
          <w:rFonts w:ascii="Calibri" w:eastAsia="Calibri" w:hAnsi="Calibri" w:cs="Calibri"/>
        </w:rPr>
      </w:pPr>
      <w:r w:rsidRPr="00226A6F">
        <w:rPr>
          <w:rFonts w:ascii="Calibri" w:eastAsia="Calibri" w:hAnsi="Calibri" w:cs="Calibri"/>
        </w:rPr>
        <w:t>5     TB.mp. (94930)</w:t>
      </w:r>
    </w:p>
    <w:p w:rsidR="00EF5FD1" w:rsidRPr="00226A6F" w:rsidRDefault="00EF5FD1" w:rsidP="00EF5FD1">
      <w:pPr>
        <w:rPr>
          <w:rFonts w:ascii="Calibri" w:eastAsia="Calibri" w:hAnsi="Calibri" w:cs="Calibri"/>
        </w:rPr>
      </w:pPr>
      <w:r w:rsidRPr="00226A6F">
        <w:rPr>
          <w:rFonts w:ascii="Calibri" w:eastAsia="Calibri" w:hAnsi="Calibri" w:cs="Calibri"/>
        </w:rPr>
        <w:t>6     1 or 2 or 3 or 4 or 5 (343629)</w:t>
      </w:r>
    </w:p>
    <w:p w:rsidR="00EF5FD1" w:rsidRPr="00226A6F" w:rsidRDefault="00EF5FD1" w:rsidP="00EF5FD1">
      <w:pPr>
        <w:rPr>
          <w:rFonts w:ascii="Calibri" w:eastAsia="Calibri" w:hAnsi="Calibri" w:cs="Calibri"/>
        </w:rPr>
      </w:pPr>
      <w:r w:rsidRPr="00226A6F">
        <w:rPr>
          <w:rFonts w:ascii="Calibri" w:eastAsia="Calibri" w:hAnsi="Calibri" w:cs="Calibri"/>
        </w:rPr>
        <w:t>7     immunoxel.mp. (14)</w:t>
      </w:r>
    </w:p>
    <w:p w:rsidR="00EF5FD1" w:rsidRPr="00226A6F" w:rsidRDefault="00EF5FD1" w:rsidP="00EF5FD1">
      <w:pPr>
        <w:rPr>
          <w:rFonts w:ascii="Calibri" w:eastAsia="Calibri" w:hAnsi="Calibri" w:cs="Calibri"/>
        </w:rPr>
      </w:pPr>
      <w:r w:rsidRPr="00226A6F">
        <w:rPr>
          <w:rFonts w:ascii="Calibri" w:eastAsia="Calibri" w:hAnsi="Calibri" w:cs="Calibri"/>
        </w:rPr>
        <w:t>8     dzherelo.mp. (24)</w:t>
      </w:r>
    </w:p>
    <w:p w:rsidR="00EF5FD1" w:rsidRPr="00226A6F" w:rsidRDefault="00EF5FD1" w:rsidP="00EF5FD1">
      <w:pPr>
        <w:rPr>
          <w:rFonts w:ascii="Calibri" w:eastAsia="Calibri" w:hAnsi="Calibri" w:cs="Calibri"/>
        </w:rPr>
      </w:pPr>
      <w:r w:rsidRPr="00226A6F">
        <w:rPr>
          <w:rFonts w:ascii="Calibri" w:eastAsia="Calibri" w:hAnsi="Calibri" w:cs="Calibri"/>
        </w:rPr>
        <w:t>9     7 or 8 (26)</w:t>
      </w:r>
    </w:p>
    <w:p w:rsidR="00EF5FD1" w:rsidRPr="00226A6F" w:rsidRDefault="00EF5FD1" w:rsidP="00EF5FD1">
      <w:pPr>
        <w:rPr>
          <w:rFonts w:ascii="Calibri" w:eastAsia="Calibri" w:hAnsi="Calibri" w:cs="Calibri"/>
        </w:rPr>
      </w:pPr>
      <w:r w:rsidRPr="00226A6F">
        <w:rPr>
          <w:rFonts w:ascii="Calibri" w:eastAsia="Calibri" w:hAnsi="Calibri" w:cs="Calibri"/>
        </w:rPr>
        <w:t>10     6 and 9 (15)</w:t>
      </w:r>
    </w:p>
    <w:p w:rsidR="00EF5FD1" w:rsidRPr="00226A6F" w:rsidRDefault="00EF5FD1" w:rsidP="00EF5FD1">
      <w:pPr>
        <w:rPr>
          <w:rFonts w:ascii="Calibri" w:eastAsia="Calibri" w:hAnsi="Calibri" w:cs="Calibri"/>
        </w:rPr>
      </w:pPr>
    </w:p>
    <w:p w:rsidR="00EF5FD1" w:rsidRPr="00226A6F" w:rsidRDefault="00EF5FD1" w:rsidP="00EF5FD1">
      <w:pPr>
        <w:rPr>
          <w:rFonts w:ascii="Calibri" w:eastAsia="Calibri" w:hAnsi="Calibri" w:cs="Calibri"/>
        </w:rPr>
      </w:pPr>
    </w:p>
    <w:p w:rsidR="00EF5FD1" w:rsidRPr="00226A6F" w:rsidRDefault="00EF5FD1" w:rsidP="00EF5FD1">
      <w:pPr>
        <w:pStyle w:val="ListParagraph"/>
        <w:numPr>
          <w:ilvl w:val="0"/>
          <w:numId w:val="1"/>
        </w:numPr>
        <w:spacing w:line="259" w:lineRule="auto"/>
        <w:rPr>
          <w:rFonts w:ascii="Calibri" w:eastAsia="Calibri" w:hAnsi="Calibri" w:cs="Calibri"/>
          <w:b/>
        </w:rPr>
      </w:pPr>
      <w:r w:rsidRPr="00226A6F">
        <w:rPr>
          <w:rFonts w:ascii="Calibri" w:eastAsia="Calibri" w:hAnsi="Calibri" w:cs="Calibri"/>
          <w:b/>
        </w:rPr>
        <w:t>Scopus</w:t>
      </w:r>
    </w:p>
    <w:p w:rsidR="00EF5FD1" w:rsidRPr="00226A6F" w:rsidRDefault="00EF5FD1" w:rsidP="00EF5FD1">
      <w:pPr>
        <w:rPr>
          <w:rFonts w:ascii="Calibri" w:eastAsia="Calibri" w:hAnsi="Calibri" w:cs="Calibri"/>
        </w:rPr>
      </w:pPr>
      <w:r w:rsidRPr="00226A6F">
        <w:rPr>
          <w:rFonts w:ascii="Calibri" w:eastAsia="Calibri" w:hAnsi="Calibri" w:cs="Calibri"/>
        </w:rPr>
        <w:t>Search Strategy</w:t>
      </w:r>
    </w:p>
    <w:p w:rsidR="00EF5FD1" w:rsidRPr="00226A6F" w:rsidRDefault="00EF5FD1" w:rsidP="00EF5FD1">
      <w:pPr>
        <w:rPr>
          <w:rFonts w:ascii="Calibri" w:eastAsia="Calibri" w:hAnsi="Calibri" w:cs="Calibri"/>
          <w:b/>
        </w:rPr>
      </w:pPr>
      <w:r w:rsidRPr="00226A6F">
        <w:rPr>
          <w:rFonts w:ascii="Calibri" w:eastAsia="Calibri" w:hAnsi="Calibri" w:cs="Calibri"/>
        </w:rPr>
        <w:t>--------------------------------------------------------------------------------</w:t>
      </w:r>
    </w:p>
    <w:p w:rsidR="00EF5FD1" w:rsidRPr="00226A6F" w:rsidRDefault="00EF5FD1" w:rsidP="00EF5FD1">
      <w:pPr>
        <w:rPr>
          <w:rFonts w:ascii="Calibri" w:eastAsia="Calibri" w:hAnsi="Calibri" w:cs="Calibri"/>
        </w:rPr>
      </w:pPr>
      <w:r w:rsidRPr="00226A6F">
        <w:rPr>
          <w:rFonts w:ascii="Calibri" w:eastAsia="Calibri" w:hAnsi="Calibri" w:cs="Calibri"/>
        </w:rPr>
        <w:t>( TITLE-ABS-KEY ( tuberculosis  OR  tb  OR  mycobacterium  OR  tuberculous  OR  mdr-tb  OR  xdr-tb )  AND  TITLE-ABS-KEY ( dzherelo  OR  immunoxel ) )</w:t>
      </w:r>
    </w:p>
    <w:p w:rsidR="00EF5FD1" w:rsidRPr="00226A6F" w:rsidRDefault="00EF5FD1" w:rsidP="00EF5FD1">
      <w:pPr>
        <w:pStyle w:val="ListParagraph"/>
        <w:numPr>
          <w:ilvl w:val="0"/>
          <w:numId w:val="1"/>
        </w:numPr>
        <w:spacing w:line="259" w:lineRule="auto"/>
        <w:rPr>
          <w:rFonts w:ascii="Calibri" w:eastAsia="Calibri" w:hAnsi="Calibri" w:cs="Calibri"/>
          <w:b/>
        </w:rPr>
      </w:pPr>
      <w:r w:rsidRPr="00226A6F">
        <w:rPr>
          <w:rFonts w:ascii="Calibri" w:eastAsia="Calibri" w:hAnsi="Calibri" w:cs="Calibri"/>
          <w:b/>
        </w:rPr>
        <w:t>Cochrane Central Register of Controlled Trials</w:t>
      </w:r>
    </w:p>
    <w:p w:rsidR="00EF5FD1" w:rsidRPr="00226A6F" w:rsidRDefault="00EF5FD1" w:rsidP="00EF5FD1">
      <w:pPr>
        <w:rPr>
          <w:rFonts w:ascii="Calibri" w:eastAsia="Calibri" w:hAnsi="Calibri" w:cs="Calibri"/>
        </w:rPr>
      </w:pPr>
      <w:r w:rsidRPr="00226A6F">
        <w:rPr>
          <w:rFonts w:ascii="Calibri" w:eastAsia="Calibri" w:hAnsi="Calibri" w:cs="Calibri"/>
        </w:rPr>
        <w:t>Issue 5 of 12, May 2020</w:t>
      </w:r>
    </w:p>
    <w:p w:rsidR="00EF5FD1" w:rsidRPr="00226A6F" w:rsidRDefault="00EF5FD1" w:rsidP="00EF5FD1">
      <w:pPr>
        <w:rPr>
          <w:rFonts w:ascii="Calibri" w:eastAsia="Calibri" w:hAnsi="Calibri" w:cs="Calibri"/>
        </w:rPr>
      </w:pPr>
      <w:r w:rsidRPr="00226A6F">
        <w:rPr>
          <w:rFonts w:ascii="Calibri" w:eastAsia="Calibri" w:hAnsi="Calibri" w:cs="Calibri"/>
        </w:rPr>
        <w:t>Search Strategy</w:t>
      </w:r>
    </w:p>
    <w:p w:rsidR="00EF5FD1" w:rsidRPr="00226A6F" w:rsidRDefault="00EF5FD1" w:rsidP="00EF5FD1">
      <w:pPr>
        <w:rPr>
          <w:rFonts w:ascii="Calibri" w:eastAsia="Calibri" w:hAnsi="Calibri" w:cs="Calibri"/>
          <w:b/>
        </w:rPr>
      </w:pPr>
      <w:r w:rsidRPr="00226A6F">
        <w:rPr>
          <w:rFonts w:ascii="Calibri" w:eastAsia="Calibri" w:hAnsi="Calibri" w:cs="Calibri"/>
        </w:rPr>
        <w:t>--------------------------------------------------------------------------------</w:t>
      </w:r>
    </w:p>
    <w:p w:rsidR="00EF5FD1" w:rsidRPr="00226A6F" w:rsidRDefault="00EF5FD1" w:rsidP="00EF5FD1">
      <w:pPr>
        <w:rPr>
          <w:rFonts w:ascii="Calibri" w:eastAsia="Calibri" w:hAnsi="Calibri" w:cs="Calibri"/>
        </w:rPr>
      </w:pPr>
      <w:r w:rsidRPr="00226A6F">
        <w:rPr>
          <w:rFonts w:ascii="Calibri" w:eastAsia="Calibri" w:hAnsi="Calibri" w:cs="Calibri"/>
        </w:rPr>
        <w:t>#45</w:t>
      </w:r>
      <w:r w:rsidRPr="00226A6F">
        <w:rPr>
          <w:rFonts w:ascii="Calibri" w:eastAsia="Calibri" w:hAnsi="Calibri" w:cs="Calibri"/>
        </w:rPr>
        <w:tab/>
        <w:t>tuberculosis or tuberculous or TB</w:t>
      </w:r>
      <w:r w:rsidRPr="00226A6F">
        <w:rPr>
          <w:rFonts w:ascii="Calibri" w:eastAsia="Calibri" w:hAnsi="Calibri" w:cs="Calibri"/>
        </w:rPr>
        <w:tab/>
        <w:t>(10864)</w:t>
      </w:r>
    </w:p>
    <w:p w:rsidR="00EF5FD1" w:rsidRPr="00226A6F" w:rsidRDefault="00EF5FD1" w:rsidP="00EF5FD1">
      <w:pPr>
        <w:rPr>
          <w:rFonts w:ascii="Calibri" w:eastAsia="Calibri" w:hAnsi="Calibri" w:cs="Calibri"/>
        </w:rPr>
      </w:pPr>
      <w:r w:rsidRPr="00226A6F">
        <w:rPr>
          <w:rFonts w:ascii="Calibri" w:eastAsia="Calibri" w:hAnsi="Calibri" w:cs="Calibri"/>
        </w:rPr>
        <w:t>#46</w:t>
      </w:r>
      <w:r w:rsidRPr="00226A6F">
        <w:rPr>
          <w:rFonts w:ascii="Calibri" w:eastAsia="Calibri" w:hAnsi="Calibri" w:cs="Calibri"/>
        </w:rPr>
        <w:tab/>
        <w:t>MDR-TB or XDR-TB</w:t>
      </w:r>
      <w:r w:rsidRPr="00226A6F">
        <w:rPr>
          <w:rFonts w:ascii="Calibri" w:eastAsia="Calibri" w:hAnsi="Calibri" w:cs="Calibri"/>
        </w:rPr>
        <w:tab/>
        <w:t>(237)</w:t>
      </w:r>
    </w:p>
    <w:p w:rsidR="00EF5FD1" w:rsidRPr="00226A6F" w:rsidRDefault="00EF5FD1" w:rsidP="00EF5FD1">
      <w:pPr>
        <w:rPr>
          <w:rFonts w:ascii="Calibri" w:eastAsia="Calibri" w:hAnsi="Calibri" w:cs="Calibri"/>
        </w:rPr>
      </w:pPr>
      <w:r w:rsidRPr="00226A6F">
        <w:rPr>
          <w:rFonts w:ascii="Calibri" w:eastAsia="Calibri" w:hAnsi="Calibri" w:cs="Calibri"/>
        </w:rPr>
        <w:t>#47</w:t>
      </w:r>
      <w:r w:rsidRPr="00226A6F">
        <w:rPr>
          <w:rFonts w:ascii="Calibri" w:eastAsia="Calibri" w:hAnsi="Calibri" w:cs="Calibri"/>
        </w:rPr>
        <w:tab/>
        <w:t>MeSH descriptor: [Tuberculosis] explode all trees (597)</w:t>
      </w:r>
    </w:p>
    <w:p w:rsidR="00EF5FD1" w:rsidRPr="00226A6F" w:rsidRDefault="00EF5FD1" w:rsidP="00EF5FD1">
      <w:pPr>
        <w:rPr>
          <w:rFonts w:ascii="Calibri" w:eastAsia="Calibri" w:hAnsi="Calibri" w:cs="Calibri"/>
        </w:rPr>
      </w:pPr>
      <w:r w:rsidRPr="00226A6F">
        <w:rPr>
          <w:rFonts w:ascii="Calibri" w:eastAsia="Calibri" w:hAnsi="Calibri" w:cs="Calibri"/>
        </w:rPr>
        <w:t>#48</w:t>
      </w:r>
      <w:r w:rsidRPr="00226A6F">
        <w:rPr>
          <w:rFonts w:ascii="Calibri" w:eastAsia="Calibri" w:hAnsi="Calibri" w:cs="Calibri"/>
        </w:rPr>
        <w:tab/>
        <w:t>#45 or #46 or #47</w:t>
      </w:r>
      <w:r w:rsidRPr="00226A6F">
        <w:rPr>
          <w:rFonts w:ascii="Calibri" w:eastAsia="Calibri" w:hAnsi="Calibri" w:cs="Calibri"/>
        </w:rPr>
        <w:tab/>
        <w:t>(10864)</w:t>
      </w:r>
    </w:p>
    <w:p w:rsidR="00EF5FD1" w:rsidRPr="00226A6F" w:rsidRDefault="00EF5FD1" w:rsidP="00EF5FD1">
      <w:pPr>
        <w:rPr>
          <w:rFonts w:ascii="Calibri" w:eastAsia="Calibri" w:hAnsi="Calibri" w:cs="Calibri"/>
        </w:rPr>
      </w:pPr>
      <w:r w:rsidRPr="00226A6F">
        <w:rPr>
          <w:rFonts w:ascii="Calibri" w:eastAsia="Calibri" w:hAnsi="Calibri" w:cs="Calibri"/>
        </w:rPr>
        <w:t>#49</w:t>
      </w:r>
      <w:r w:rsidRPr="00226A6F">
        <w:rPr>
          <w:rFonts w:ascii="Calibri" w:eastAsia="Calibri" w:hAnsi="Calibri" w:cs="Calibri"/>
        </w:rPr>
        <w:tab/>
        <w:t>immunoxel or dzherelo</w:t>
      </w:r>
      <w:r w:rsidRPr="00226A6F">
        <w:rPr>
          <w:rFonts w:ascii="Calibri" w:eastAsia="Calibri" w:hAnsi="Calibri" w:cs="Calibri"/>
        </w:rPr>
        <w:tab/>
        <w:t>(8)</w:t>
      </w:r>
    </w:p>
    <w:p w:rsidR="00EF5FD1" w:rsidRPr="00226A6F" w:rsidRDefault="00EF5FD1" w:rsidP="00EF5FD1">
      <w:pPr>
        <w:rPr>
          <w:rFonts w:ascii="Calibri" w:eastAsia="Calibri" w:hAnsi="Calibri" w:cs="Calibri"/>
        </w:rPr>
      </w:pPr>
      <w:r w:rsidRPr="00226A6F">
        <w:rPr>
          <w:rFonts w:ascii="Calibri" w:eastAsia="Calibri" w:hAnsi="Calibri" w:cs="Calibri"/>
        </w:rPr>
        <w:t>#50</w:t>
      </w:r>
      <w:r w:rsidRPr="00226A6F">
        <w:rPr>
          <w:rFonts w:ascii="Calibri" w:eastAsia="Calibri" w:hAnsi="Calibri" w:cs="Calibri"/>
        </w:rPr>
        <w:tab/>
        <w:t>#48 and #49</w:t>
      </w:r>
      <w:r w:rsidRPr="00226A6F">
        <w:rPr>
          <w:rFonts w:ascii="Calibri" w:eastAsia="Calibri" w:hAnsi="Calibri" w:cs="Calibri"/>
        </w:rPr>
        <w:tab/>
        <w:t>(7)</w:t>
      </w:r>
    </w:p>
    <w:p w:rsidR="00EF5FD1" w:rsidRPr="00226A6F" w:rsidRDefault="00EF5FD1" w:rsidP="00EF5FD1">
      <w:pPr>
        <w:pStyle w:val="ListParagraph"/>
        <w:numPr>
          <w:ilvl w:val="0"/>
          <w:numId w:val="1"/>
        </w:numPr>
        <w:spacing w:line="259" w:lineRule="auto"/>
        <w:rPr>
          <w:rFonts w:ascii="Calibri" w:eastAsia="Calibri" w:hAnsi="Calibri" w:cs="Calibri"/>
        </w:rPr>
      </w:pPr>
      <w:r w:rsidRPr="00226A6F">
        <w:rPr>
          <w:rFonts w:ascii="Calibri" w:eastAsia="Calibri" w:hAnsi="Calibri" w:cs="Calibri"/>
          <w:b/>
        </w:rPr>
        <w:t>Google Scholar</w:t>
      </w:r>
      <w:r w:rsidRPr="00226A6F">
        <w:rPr>
          <w:rFonts w:ascii="Calibri" w:eastAsia="Calibri" w:hAnsi="Calibri" w:cs="Calibri"/>
        </w:rPr>
        <w:t xml:space="preserve">: dzherelo, immunoxel </w:t>
      </w:r>
    </w:p>
    <w:p w:rsidR="00EF5FD1" w:rsidRPr="00226A6F" w:rsidRDefault="00EF5FD1" w:rsidP="00EF5FD1">
      <w:pPr>
        <w:pStyle w:val="ListParagraph"/>
        <w:numPr>
          <w:ilvl w:val="0"/>
          <w:numId w:val="1"/>
        </w:numPr>
        <w:spacing w:line="259" w:lineRule="auto"/>
        <w:rPr>
          <w:rFonts w:ascii="Calibri" w:eastAsia="Calibri" w:hAnsi="Calibri" w:cs="Calibri"/>
        </w:rPr>
      </w:pPr>
      <w:r w:rsidRPr="00226A6F">
        <w:rPr>
          <w:rFonts w:ascii="Calibri" w:eastAsia="Calibri" w:hAnsi="Calibri" w:cs="Calibri"/>
          <w:b/>
        </w:rPr>
        <w:t>Clinicaltrials.gov</w:t>
      </w:r>
      <w:r w:rsidRPr="00226A6F">
        <w:rPr>
          <w:rFonts w:ascii="Calibri" w:eastAsia="Calibri" w:hAnsi="Calibri" w:cs="Calibri"/>
        </w:rPr>
        <w:t>: dzherelo, immunoxel</w:t>
      </w:r>
    </w:p>
    <w:p w:rsidR="00EF5FD1" w:rsidRPr="00226A6F" w:rsidRDefault="00EF5FD1" w:rsidP="00EF5FD1">
      <w:pPr>
        <w:pStyle w:val="ListParagraph"/>
        <w:numPr>
          <w:ilvl w:val="0"/>
          <w:numId w:val="1"/>
        </w:numPr>
        <w:spacing w:line="259" w:lineRule="auto"/>
        <w:rPr>
          <w:rFonts w:ascii="Calibri" w:eastAsia="Calibri" w:hAnsi="Calibri" w:cs="Calibri"/>
        </w:rPr>
      </w:pPr>
      <w:r w:rsidRPr="00226A6F">
        <w:rPr>
          <w:rFonts w:ascii="Calibri" w:eastAsia="Calibri" w:hAnsi="Calibri" w:cs="Calibri"/>
          <w:b/>
        </w:rPr>
        <w:t>WHO ICTRP</w:t>
      </w:r>
      <w:r w:rsidRPr="00226A6F">
        <w:rPr>
          <w:rFonts w:ascii="Calibri" w:eastAsia="Calibri" w:hAnsi="Calibri" w:cs="Calibri"/>
        </w:rPr>
        <w:t xml:space="preserve">: dzherelo, immunoxel </w:t>
      </w:r>
    </w:p>
    <w:p w:rsidR="00EF5FD1" w:rsidRDefault="00EF5FD1" w:rsidP="00EF5FD1">
      <w:pPr>
        <w:rPr>
          <w:rFonts w:eastAsia="Times New Roman"/>
        </w:rPr>
      </w:pPr>
    </w:p>
    <w:p w:rsidR="00EF5FD1" w:rsidRPr="00A93F08" w:rsidRDefault="00EF5FD1" w:rsidP="00EF5FD1">
      <w:pPr>
        <w:pStyle w:val="Heading1"/>
      </w:pPr>
      <w:r w:rsidRPr="00A93F08">
        <w:t>Appendix B. Summary of findings table</w:t>
      </w:r>
    </w:p>
    <w:p w:rsidR="00EF5FD1" w:rsidRPr="008D3DE7" w:rsidRDefault="00EF5FD1" w:rsidP="00EF5FD1">
      <w:pPr>
        <w:rPr>
          <w:b/>
        </w:rPr>
        <w:sectPr w:rsidR="00EF5FD1" w:rsidRPr="008D3DE7" w:rsidSect="00647EF9">
          <w:headerReference w:type="default" r:id="rId5"/>
          <w:pgSz w:w="11906" w:h="16838"/>
          <w:pgMar w:top="1440" w:right="1440" w:bottom="1440" w:left="1440" w:header="708" w:footer="708" w:gutter="0"/>
          <w:lnNumType w:countBy="1" w:restart="continuous"/>
          <w:cols w:space="708"/>
          <w:docGrid w:linePitch="360"/>
        </w:sectPr>
      </w:pPr>
    </w:p>
    <w:tbl>
      <w:tblPr>
        <w:tblW w:w="5000" w:type="pct"/>
        <w:tblCellMar>
          <w:top w:w="50" w:type="dxa"/>
          <w:left w:w="50" w:type="dxa"/>
          <w:bottom w:w="50" w:type="dxa"/>
          <w:right w:w="50" w:type="dxa"/>
        </w:tblCellMar>
        <w:tblLook w:val="04A0" w:firstRow="1" w:lastRow="0" w:firstColumn="1" w:lastColumn="0" w:noHBand="0" w:noVBand="1"/>
      </w:tblPr>
      <w:tblGrid>
        <w:gridCol w:w="2546"/>
        <w:gridCol w:w="1675"/>
        <w:gridCol w:w="1675"/>
        <w:gridCol w:w="1675"/>
        <w:gridCol w:w="1675"/>
        <w:gridCol w:w="1083"/>
        <w:gridCol w:w="3629"/>
      </w:tblGrid>
      <w:tr w:rsidR="00EF5FD1" w:rsidRPr="005333C7" w:rsidTr="002C4EEF">
        <w:trPr>
          <w:cantSplit/>
          <w:tblHeader/>
        </w:trPr>
        <w:tc>
          <w:tcPr>
            <w:tcW w:w="5000" w:type="pct"/>
            <w:gridSpan w:val="7"/>
            <w:tcBorders>
              <w:top w:val="nil"/>
              <w:left w:val="nil"/>
              <w:bottom w:val="nil"/>
              <w:right w:val="nil"/>
            </w:tcBorders>
            <w:vAlign w:val="center"/>
            <w:hideMark/>
          </w:tcPr>
          <w:p w:rsidR="00EF5FD1" w:rsidRPr="005333C7" w:rsidRDefault="00EF5FD1" w:rsidP="002C4EEF">
            <w:pPr>
              <w:pStyle w:val="Heading2"/>
              <w:rPr>
                <w:rFonts w:ascii="Arial Narrow" w:eastAsia="Times New Roman" w:hAnsi="Arial Narrow" w:cs="Times New Roman"/>
                <w:sz w:val="16"/>
                <w:szCs w:val="16"/>
              </w:rPr>
            </w:pPr>
            <w:r w:rsidRPr="005333C7">
              <w:rPr>
                <w:rFonts w:ascii="Arial Narrow" w:eastAsia="Times New Roman" w:hAnsi="Arial Narrow" w:cs="Times New Roman"/>
                <w:bCs/>
                <w:sz w:val="14"/>
                <w:szCs w:val="14"/>
                <w:lang w:val="en-ZA" w:eastAsia="en-ZA"/>
              </w:rPr>
              <w:lastRenderedPageBreak/>
              <w:t xml:space="preserve">Summary of findings table of Immunoxel with anti-tuberculosis treatment compared to ATT alone or ATT with placebo as adjunctive therapy in patients with pulmonary Tuberculosis </w:t>
            </w:r>
          </w:p>
        </w:tc>
      </w:tr>
      <w:tr w:rsidR="00EF5FD1" w:rsidRPr="005333C7" w:rsidTr="002C4EEF">
        <w:trPr>
          <w:cantSplit/>
          <w:tblHeader/>
        </w:trPr>
        <w:tc>
          <w:tcPr>
            <w:tcW w:w="5000" w:type="pct"/>
            <w:gridSpan w:val="7"/>
            <w:tcBorders>
              <w:top w:val="single" w:sz="12" w:space="0" w:color="000000"/>
              <w:left w:val="nil"/>
              <w:bottom w:val="single" w:sz="12" w:space="0" w:color="000000"/>
              <w:right w:val="nil"/>
            </w:tcBorders>
            <w:vAlign w:val="center"/>
            <w:hideMark/>
          </w:tcPr>
          <w:p w:rsidR="00EF5FD1" w:rsidRPr="005333C7" w:rsidRDefault="00EF5FD1" w:rsidP="002C4EEF">
            <w:pPr>
              <w:spacing w:after="0" w:line="240" w:lineRule="auto"/>
              <w:rPr>
                <w:rFonts w:ascii="Arial Narrow" w:eastAsia="Times New Roman" w:hAnsi="Arial Narrow" w:cs="Times New Roman"/>
                <w:sz w:val="22"/>
              </w:rPr>
            </w:pPr>
            <w:r w:rsidRPr="005333C7">
              <w:rPr>
                <w:rFonts w:ascii="Arial Narrow" w:eastAsia="Times New Roman" w:hAnsi="Arial Narrow" w:cs="Times New Roman"/>
                <w:b/>
                <w:bCs/>
                <w:sz w:val="22"/>
              </w:rPr>
              <w:t>ATT with Immunoxel compared to ATT alone or ATT with placebo for ss adjunctive therapy in patient with Pulmonary Tuberculosis</w:t>
            </w:r>
          </w:p>
        </w:tc>
      </w:tr>
      <w:tr w:rsidR="00EF5FD1" w:rsidRPr="005333C7" w:rsidTr="002C4EEF">
        <w:trPr>
          <w:cantSplit/>
          <w:tblHeader/>
        </w:trPr>
        <w:tc>
          <w:tcPr>
            <w:tcW w:w="5000" w:type="pct"/>
            <w:gridSpan w:val="7"/>
            <w:tcBorders>
              <w:top w:val="single" w:sz="12" w:space="0" w:color="000000"/>
              <w:left w:val="nil"/>
              <w:bottom w:val="single" w:sz="12" w:space="0" w:color="000000"/>
              <w:right w:val="nil"/>
            </w:tcBorders>
            <w:vAlign w:val="center"/>
            <w:hideMark/>
          </w:tcPr>
          <w:p w:rsidR="00EF5FD1" w:rsidRPr="005333C7" w:rsidRDefault="00EF5FD1" w:rsidP="002C4EEF">
            <w:pPr>
              <w:spacing w:line="259" w:lineRule="auto"/>
              <w:rPr>
                <w:rFonts w:ascii="Arial Narrow" w:eastAsia="Times New Roman" w:hAnsi="Arial Narrow" w:cs="Times New Roman"/>
                <w:sz w:val="16"/>
                <w:szCs w:val="16"/>
              </w:rPr>
            </w:pPr>
            <w:r w:rsidRPr="005333C7">
              <w:rPr>
                <w:rFonts w:ascii="Arial Narrow" w:eastAsia="Times New Roman" w:hAnsi="Arial Narrow" w:cs="Times New Roman"/>
                <w:b/>
                <w:bCs/>
                <w:sz w:val="16"/>
                <w:szCs w:val="16"/>
              </w:rPr>
              <w:t>Patient or population</w:t>
            </w:r>
            <w:r w:rsidRPr="005333C7">
              <w:rPr>
                <w:rFonts w:ascii="Arial Narrow" w:eastAsia="Times New Roman" w:hAnsi="Arial Narrow" w:cs="Times New Roman"/>
                <w:sz w:val="16"/>
                <w:szCs w:val="16"/>
              </w:rPr>
              <w:t xml:space="preserve">: Patient with pulmonary Tuberculosis </w:t>
            </w:r>
          </w:p>
          <w:p w:rsidR="00EF5FD1" w:rsidRPr="005333C7" w:rsidRDefault="00EF5FD1" w:rsidP="002C4EEF">
            <w:pPr>
              <w:spacing w:line="259" w:lineRule="auto"/>
              <w:rPr>
                <w:rFonts w:ascii="Arial Narrow" w:eastAsia="Times New Roman" w:hAnsi="Arial Narrow" w:cs="Times New Roman"/>
                <w:sz w:val="16"/>
                <w:szCs w:val="16"/>
              </w:rPr>
            </w:pPr>
            <w:r w:rsidRPr="005333C7">
              <w:rPr>
                <w:rFonts w:ascii="Arial Narrow" w:eastAsia="Times New Roman" w:hAnsi="Arial Narrow" w:cs="Times New Roman"/>
                <w:b/>
                <w:bCs/>
                <w:sz w:val="16"/>
                <w:szCs w:val="16"/>
              </w:rPr>
              <w:t>Setting</w:t>
            </w:r>
            <w:r w:rsidRPr="005333C7">
              <w:rPr>
                <w:rFonts w:ascii="Arial Narrow" w:eastAsia="Times New Roman" w:hAnsi="Arial Narrow" w:cs="Times New Roman"/>
                <w:sz w:val="16"/>
                <w:szCs w:val="16"/>
              </w:rPr>
              <w:t>: None</w:t>
            </w:r>
          </w:p>
          <w:p w:rsidR="00EF5FD1" w:rsidRPr="005333C7" w:rsidRDefault="00EF5FD1" w:rsidP="002C4EEF">
            <w:pPr>
              <w:spacing w:line="259" w:lineRule="auto"/>
              <w:rPr>
                <w:rFonts w:ascii="Arial Narrow" w:eastAsia="Times New Roman" w:hAnsi="Arial Narrow" w:cs="Times New Roman"/>
                <w:sz w:val="16"/>
                <w:szCs w:val="16"/>
              </w:rPr>
            </w:pPr>
            <w:r w:rsidRPr="005333C7">
              <w:rPr>
                <w:rFonts w:ascii="Arial Narrow" w:eastAsia="Times New Roman" w:hAnsi="Arial Narrow" w:cs="Times New Roman"/>
                <w:b/>
                <w:bCs/>
                <w:sz w:val="16"/>
                <w:szCs w:val="16"/>
              </w:rPr>
              <w:t>Intervention</w:t>
            </w:r>
            <w:r w:rsidRPr="005333C7">
              <w:rPr>
                <w:rFonts w:ascii="Arial Narrow" w:eastAsia="Times New Roman" w:hAnsi="Arial Narrow" w:cs="Times New Roman"/>
                <w:sz w:val="16"/>
                <w:szCs w:val="16"/>
              </w:rPr>
              <w:t xml:space="preserve">: ATT with Immunoxel </w:t>
            </w:r>
          </w:p>
          <w:p w:rsidR="00EF5FD1" w:rsidRPr="005333C7" w:rsidRDefault="00EF5FD1" w:rsidP="002C4EEF">
            <w:pPr>
              <w:spacing w:line="259" w:lineRule="auto"/>
              <w:rPr>
                <w:rFonts w:ascii="Arial Narrow" w:eastAsia="Times New Roman" w:hAnsi="Arial Narrow" w:cs="Times New Roman"/>
                <w:sz w:val="16"/>
                <w:szCs w:val="16"/>
              </w:rPr>
            </w:pPr>
            <w:r w:rsidRPr="005333C7">
              <w:rPr>
                <w:rFonts w:ascii="Arial Narrow" w:eastAsia="Times New Roman" w:hAnsi="Arial Narrow" w:cs="Times New Roman"/>
                <w:b/>
                <w:bCs/>
                <w:sz w:val="16"/>
                <w:szCs w:val="16"/>
              </w:rPr>
              <w:t>Comparison</w:t>
            </w:r>
            <w:r w:rsidRPr="005333C7">
              <w:rPr>
                <w:rFonts w:ascii="Arial Narrow" w:eastAsia="Times New Roman" w:hAnsi="Arial Narrow" w:cs="Times New Roman"/>
                <w:sz w:val="16"/>
                <w:szCs w:val="16"/>
              </w:rPr>
              <w:t xml:space="preserve">: ATT alone or ATT with placebo </w:t>
            </w:r>
          </w:p>
        </w:tc>
      </w:tr>
      <w:tr w:rsidR="00EF5FD1" w:rsidRPr="005333C7" w:rsidTr="002C4EEF">
        <w:trPr>
          <w:gridAfter w:val="1"/>
          <w:wAfter w:w="1300" w:type="pct"/>
          <w:cantSplit/>
          <w:tblHeader/>
        </w:trPr>
        <w:tc>
          <w:tcPr>
            <w:tcW w:w="912" w:type="pct"/>
            <w:vMerge w:val="restart"/>
            <w:tcBorders>
              <w:right w:val="single" w:sz="6" w:space="0" w:color="EFEFEF"/>
            </w:tcBorders>
            <w:shd w:val="clear" w:color="auto" w:fill="3271AA"/>
            <w:vAlign w:val="center"/>
            <w:hideMark/>
          </w:tcPr>
          <w:p w:rsidR="00EF5FD1" w:rsidRPr="005333C7" w:rsidRDefault="00EF5FD1" w:rsidP="002C4EEF">
            <w:pPr>
              <w:spacing w:after="0" w:line="240" w:lineRule="auto"/>
              <w:jc w:val="center"/>
              <w:rPr>
                <w:rFonts w:ascii="Arial Narrow" w:eastAsia="Times New Roman" w:hAnsi="Arial Narrow" w:cs="Times New Roman"/>
                <w:color w:val="FFFFFF"/>
                <w:sz w:val="16"/>
                <w:szCs w:val="16"/>
              </w:rPr>
            </w:pPr>
            <w:r w:rsidRPr="005333C7">
              <w:rPr>
                <w:rFonts w:ascii="Arial Narrow" w:eastAsia="Times New Roman" w:hAnsi="Arial Narrow" w:cs="Times New Roman"/>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rsidR="00EF5FD1" w:rsidRPr="005333C7" w:rsidRDefault="00EF5FD1" w:rsidP="002C4EEF">
            <w:pPr>
              <w:spacing w:after="0" w:line="240" w:lineRule="auto"/>
              <w:jc w:val="center"/>
              <w:rPr>
                <w:rFonts w:ascii="Arial Narrow" w:eastAsia="Times New Roman" w:hAnsi="Arial Narrow" w:cs="Times New Roman"/>
                <w:b/>
                <w:bCs/>
                <w:sz w:val="16"/>
                <w:szCs w:val="16"/>
              </w:rPr>
            </w:pPr>
            <w:r w:rsidRPr="005333C7">
              <w:rPr>
                <w:rFonts w:ascii="Arial Narrow" w:eastAsia="Times New Roman" w:hAnsi="Arial Narrow" w:cs="Times New Roman"/>
                <w:b/>
                <w:bCs/>
                <w:sz w:val="16"/>
                <w:szCs w:val="16"/>
              </w:rPr>
              <w:t>Anticipated absolute effects</w:t>
            </w:r>
            <w:r w:rsidRPr="005333C7">
              <w:rPr>
                <w:rFonts w:ascii="Arial Narrow" w:eastAsia="Times New Roman" w:hAnsi="Arial Narrow" w:cs="Times New Roman"/>
                <w:b/>
                <w:bCs/>
                <w:sz w:val="16"/>
                <w:szCs w:val="16"/>
                <w:vertAlign w:val="superscript"/>
              </w:rPr>
              <w:t>*</w:t>
            </w:r>
            <w:r w:rsidRPr="005333C7">
              <w:rPr>
                <w:rFonts w:ascii="Arial Narrow" w:eastAsia="Times New Roman" w:hAnsi="Arial Narrow" w:cs="Times New Roman"/>
                <w:b/>
                <w:bCs/>
                <w:sz w:val="16"/>
                <w:szCs w:val="16"/>
              </w:rPr>
              <w:t xml:space="preserve"> </w:t>
            </w:r>
            <w:r w:rsidRPr="005333C7">
              <w:rPr>
                <w:rFonts w:ascii="Arial Narrow" w:eastAsia="Times New Roman" w:hAnsi="Arial Narrow" w:cs="Times New Roman"/>
                <w:sz w:val="16"/>
                <w:szCs w:val="16"/>
              </w:rPr>
              <w:t>(95% CI)</w:t>
            </w:r>
            <w:r w:rsidRPr="005333C7">
              <w:rPr>
                <w:rFonts w:ascii="Arial Narrow" w:eastAsia="Times New Roman" w:hAnsi="Arial Narrow" w:cs="Times New Roman"/>
                <w:b/>
                <w:bCs/>
                <w:sz w:val="16"/>
                <w:szCs w:val="16"/>
              </w:rPr>
              <w:t xml:space="preserve"> </w:t>
            </w:r>
          </w:p>
        </w:tc>
        <w:tc>
          <w:tcPr>
            <w:tcW w:w="600" w:type="pct"/>
            <w:vMerge w:val="restart"/>
            <w:tcBorders>
              <w:right w:val="single" w:sz="6" w:space="0" w:color="EFEFEF"/>
            </w:tcBorders>
            <w:shd w:val="clear" w:color="auto" w:fill="3271AA"/>
            <w:vAlign w:val="center"/>
            <w:hideMark/>
          </w:tcPr>
          <w:p w:rsidR="00EF5FD1" w:rsidRPr="005333C7" w:rsidRDefault="00EF5FD1" w:rsidP="002C4EEF">
            <w:pPr>
              <w:spacing w:after="0" w:line="240" w:lineRule="auto"/>
              <w:jc w:val="center"/>
              <w:rPr>
                <w:rFonts w:ascii="Arial Narrow" w:eastAsia="Times New Roman" w:hAnsi="Arial Narrow" w:cs="Times New Roman"/>
                <w:color w:val="FFFFFF"/>
                <w:sz w:val="16"/>
                <w:szCs w:val="16"/>
              </w:rPr>
            </w:pPr>
            <w:r w:rsidRPr="005333C7">
              <w:rPr>
                <w:rFonts w:ascii="Arial Narrow" w:eastAsia="Times New Roman" w:hAnsi="Arial Narrow" w:cs="Times New Roman"/>
                <w:color w:val="FFFFFF"/>
                <w:sz w:val="16"/>
                <w:szCs w:val="16"/>
              </w:rPr>
              <w:t>Relative effect</w:t>
            </w:r>
            <w:r w:rsidRPr="005333C7">
              <w:rPr>
                <w:rFonts w:ascii="Arial Narrow" w:eastAsia="Times New Roman" w:hAnsi="Arial Narrow" w:cs="Times New Roman"/>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rsidR="00EF5FD1" w:rsidRPr="005333C7" w:rsidRDefault="00EF5FD1" w:rsidP="002C4EEF">
            <w:pPr>
              <w:spacing w:after="0" w:line="240" w:lineRule="auto"/>
              <w:jc w:val="center"/>
              <w:rPr>
                <w:rFonts w:ascii="Arial Narrow" w:eastAsia="Times New Roman" w:hAnsi="Arial Narrow" w:cs="Times New Roman"/>
                <w:color w:val="FFFFFF"/>
                <w:sz w:val="16"/>
                <w:szCs w:val="16"/>
              </w:rPr>
            </w:pPr>
            <w:r w:rsidRPr="005333C7">
              <w:rPr>
                <w:rFonts w:ascii="Arial Narrow" w:eastAsia="Times New Roman" w:hAnsi="Arial Narrow" w:cs="Times New Roman"/>
                <w:color w:val="FFFFFF"/>
                <w:sz w:val="16"/>
                <w:szCs w:val="16"/>
              </w:rPr>
              <w:t xml:space="preserve">№ of participants </w:t>
            </w:r>
            <w:r w:rsidRPr="005333C7">
              <w:rPr>
                <w:rFonts w:ascii="Arial Narrow" w:eastAsia="Times New Roman" w:hAnsi="Arial Narrow" w:cs="Times New Roman"/>
                <w:color w:val="FFFFFF"/>
                <w:sz w:val="16"/>
                <w:szCs w:val="16"/>
              </w:rPr>
              <w:br/>
              <w:t xml:space="preserve">(studies) </w:t>
            </w:r>
          </w:p>
        </w:tc>
        <w:tc>
          <w:tcPr>
            <w:tcW w:w="388" w:type="pct"/>
            <w:vMerge w:val="restart"/>
            <w:tcBorders>
              <w:right w:val="single" w:sz="6" w:space="0" w:color="EFEFEF"/>
            </w:tcBorders>
            <w:shd w:val="clear" w:color="auto" w:fill="3271AA"/>
            <w:vAlign w:val="center"/>
            <w:hideMark/>
          </w:tcPr>
          <w:p w:rsidR="00EF5FD1" w:rsidRPr="005333C7" w:rsidRDefault="00EF5FD1" w:rsidP="002C4EEF">
            <w:pPr>
              <w:spacing w:after="0" w:line="240" w:lineRule="auto"/>
              <w:jc w:val="center"/>
              <w:rPr>
                <w:rFonts w:ascii="Arial Narrow" w:eastAsia="Times New Roman" w:hAnsi="Arial Narrow" w:cs="Times New Roman"/>
                <w:color w:val="FFFFFF"/>
                <w:sz w:val="16"/>
                <w:szCs w:val="16"/>
              </w:rPr>
            </w:pPr>
            <w:r w:rsidRPr="005333C7">
              <w:rPr>
                <w:rFonts w:ascii="Arial Narrow" w:eastAsia="Times New Roman" w:hAnsi="Arial Narrow" w:cs="Times New Roman"/>
                <w:color w:val="FFFFFF"/>
                <w:sz w:val="16"/>
                <w:szCs w:val="16"/>
              </w:rPr>
              <w:t>Certainty of the evidence</w:t>
            </w:r>
            <w:r w:rsidRPr="005333C7">
              <w:rPr>
                <w:rFonts w:ascii="Arial Narrow" w:eastAsia="Times New Roman" w:hAnsi="Arial Narrow" w:cs="Times New Roman"/>
                <w:color w:val="FFFFFF"/>
                <w:sz w:val="16"/>
                <w:szCs w:val="16"/>
              </w:rPr>
              <w:br/>
              <w:t xml:space="preserve">(GRADE) </w:t>
            </w:r>
          </w:p>
        </w:tc>
      </w:tr>
      <w:tr w:rsidR="00EF5FD1" w:rsidRPr="005333C7" w:rsidTr="002C4EEF">
        <w:trPr>
          <w:gridAfter w:val="1"/>
          <w:wAfter w:w="1300" w:type="pct"/>
          <w:cantSplit/>
          <w:tblHeader/>
        </w:trPr>
        <w:tc>
          <w:tcPr>
            <w:tcW w:w="912" w:type="pct"/>
            <w:vMerge/>
            <w:tcBorders>
              <w:right w:val="single" w:sz="6" w:space="0" w:color="EFEFEF"/>
            </w:tcBorders>
            <w:vAlign w:val="center"/>
            <w:hideMark/>
          </w:tcPr>
          <w:p w:rsidR="00EF5FD1" w:rsidRPr="005333C7" w:rsidRDefault="00EF5FD1" w:rsidP="002C4EEF">
            <w:pPr>
              <w:spacing w:line="259" w:lineRule="auto"/>
              <w:rPr>
                <w:rFonts w:ascii="Arial Narrow" w:eastAsia="Times New Roman" w:hAnsi="Arial Narrow" w:cs="Times New Roman"/>
                <w:color w:val="FFFFFF"/>
                <w:sz w:val="16"/>
                <w:szCs w:val="16"/>
              </w:rPr>
            </w:pPr>
          </w:p>
        </w:tc>
        <w:tc>
          <w:tcPr>
            <w:tcW w:w="600" w:type="pct"/>
            <w:tcBorders>
              <w:top w:val="single" w:sz="6" w:space="0" w:color="EFEFEF"/>
              <w:right w:val="single" w:sz="6" w:space="0" w:color="EFEFEF"/>
            </w:tcBorders>
            <w:shd w:val="clear" w:color="auto" w:fill="E0E0E0"/>
            <w:hideMark/>
          </w:tcPr>
          <w:p w:rsidR="00EF5FD1" w:rsidRPr="005333C7" w:rsidRDefault="00EF5FD1" w:rsidP="002C4EEF">
            <w:pPr>
              <w:spacing w:after="0" w:line="240" w:lineRule="auto"/>
              <w:jc w:val="center"/>
              <w:rPr>
                <w:rFonts w:ascii="Arial Narrow" w:eastAsia="Times New Roman" w:hAnsi="Arial Narrow" w:cs="Times New Roman"/>
                <w:b/>
                <w:bCs/>
                <w:sz w:val="16"/>
                <w:szCs w:val="16"/>
              </w:rPr>
            </w:pPr>
            <w:r w:rsidRPr="005333C7">
              <w:rPr>
                <w:rFonts w:ascii="Arial Narrow" w:eastAsia="Times New Roman" w:hAnsi="Arial Narrow" w:cs="Times New Roman"/>
                <w:b/>
                <w:bCs/>
                <w:sz w:val="16"/>
                <w:szCs w:val="16"/>
              </w:rPr>
              <w:t>Risk with ATT alone or ATT with placebo</w:t>
            </w:r>
          </w:p>
        </w:tc>
        <w:tc>
          <w:tcPr>
            <w:tcW w:w="600" w:type="pct"/>
            <w:tcBorders>
              <w:top w:val="single" w:sz="6" w:space="0" w:color="EFEFEF"/>
              <w:right w:val="single" w:sz="6" w:space="0" w:color="EFEFEF"/>
            </w:tcBorders>
            <w:shd w:val="clear" w:color="auto" w:fill="E0E0E0"/>
            <w:hideMark/>
          </w:tcPr>
          <w:p w:rsidR="00EF5FD1" w:rsidRPr="005333C7" w:rsidRDefault="00EF5FD1" w:rsidP="002C4EEF">
            <w:pPr>
              <w:spacing w:after="0" w:line="240" w:lineRule="auto"/>
              <w:jc w:val="center"/>
              <w:rPr>
                <w:rFonts w:ascii="Arial Narrow" w:eastAsia="Times New Roman" w:hAnsi="Arial Narrow" w:cs="Times New Roman"/>
                <w:b/>
                <w:bCs/>
                <w:sz w:val="16"/>
                <w:szCs w:val="16"/>
              </w:rPr>
            </w:pPr>
            <w:r w:rsidRPr="005333C7">
              <w:rPr>
                <w:rFonts w:ascii="Arial Narrow" w:eastAsia="Times New Roman" w:hAnsi="Arial Narrow" w:cs="Times New Roman"/>
                <w:b/>
                <w:bCs/>
                <w:sz w:val="16"/>
                <w:szCs w:val="16"/>
              </w:rPr>
              <w:t>Risk with ATT with Immunoxel</w:t>
            </w:r>
          </w:p>
        </w:tc>
        <w:tc>
          <w:tcPr>
            <w:tcW w:w="600" w:type="pct"/>
            <w:vMerge/>
            <w:tcBorders>
              <w:right w:val="single" w:sz="6" w:space="0" w:color="EFEFEF"/>
            </w:tcBorders>
            <w:vAlign w:val="center"/>
            <w:hideMark/>
          </w:tcPr>
          <w:p w:rsidR="00EF5FD1" w:rsidRPr="005333C7" w:rsidRDefault="00EF5FD1" w:rsidP="002C4EEF">
            <w:pPr>
              <w:spacing w:line="259" w:lineRule="auto"/>
              <w:rPr>
                <w:rFonts w:ascii="Arial Narrow" w:eastAsia="Times New Roman" w:hAnsi="Arial Narrow" w:cs="Times New Roman"/>
                <w:color w:val="FFFFFF"/>
                <w:sz w:val="16"/>
                <w:szCs w:val="16"/>
              </w:rPr>
            </w:pPr>
          </w:p>
        </w:tc>
        <w:tc>
          <w:tcPr>
            <w:tcW w:w="600" w:type="pct"/>
            <w:vMerge/>
            <w:tcBorders>
              <w:right w:val="single" w:sz="6" w:space="0" w:color="EFEFEF"/>
            </w:tcBorders>
            <w:vAlign w:val="center"/>
            <w:hideMark/>
          </w:tcPr>
          <w:p w:rsidR="00EF5FD1" w:rsidRPr="005333C7" w:rsidRDefault="00EF5FD1" w:rsidP="002C4EEF">
            <w:pPr>
              <w:spacing w:line="259" w:lineRule="auto"/>
              <w:rPr>
                <w:rFonts w:ascii="Arial Narrow" w:eastAsia="Times New Roman" w:hAnsi="Arial Narrow" w:cs="Times New Roman"/>
                <w:color w:val="FFFFFF"/>
                <w:sz w:val="16"/>
                <w:szCs w:val="16"/>
              </w:rPr>
            </w:pPr>
          </w:p>
        </w:tc>
        <w:tc>
          <w:tcPr>
            <w:tcW w:w="388" w:type="pct"/>
            <w:vMerge/>
            <w:tcBorders>
              <w:right w:val="single" w:sz="6" w:space="0" w:color="EFEFEF"/>
            </w:tcBorders>
            <w:vAlign w:val="center"/>
            <w:hideMark/>
          </w:tcPr>
          <w:p w:rsidR="00EF5FD1" w:rsidRPr="005333C7" w:rsidRDefault="00EF5FD1" w:rsidP="002C4EEF">
            <w:pPr>
              <w:spacing w:line="259" w:lineRule="auto"/>
              <w:rPr>
                <w:rFonts w:ascii="Arial Narrow" w:eastAsia="Times New Roman" w:hAnsi="Arial Narrow" w:cs="Times New Roman"/>
                <w:color w:val="FFFFFF"/>
                <w:sz w:val="16"/>
                <w:szCs w:val="16"/>
              </w:rPr>
            </w:pPr>
          </w:p>
        </w:tc>
      </w:tr>
      <w:tr w:rsidR="00EF5FD1" w:rsidRPr="005333C7" w:rsidTr="002C4EEF">
        <w:trPr>
          <w:gridAfter w:val="1"/>
          <w:wAfter w:w="1300" w:type="pct"/>
          <w:cantSplit/>
        </w:trPr>
        <w:tc>
          <w:tcPr>
            <w:tcW w:w="912"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8"/>
                <w:szCs w:val="18"/>
              </w:rPr>
              <w:t>Sputum smear conversion</w:t>
            </w:r>
            <w:r w:rsidRPr="005333C7">
              <w:rPr>
                <w:rFonts w:ascii="Arial Narrow" w:eastAsia="Times New Roman" w:hAnsi="Arial Narrow" w:cs="Times New Roman"/>
                <w:sz w:val="16"/>
                <w:szCs w:val="16"/>
              </w:rPr>
              <w:t xml:space="preserve"> </w:t>
            </w:r>
          </w:p>
        </w:tc>
        <w:tc>
          <w:tcPr>
            <w:tcW w:w="600"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rPr>
                <w:rFonts w:ascii="Arial Narrow" w:eastAsia="Times New Roman" w:hAnsi="Arial Narrow" w:cs="Times New Roman"/>
                <w:sz w:val="16"/>
                <w:szCs w:val="16"/>
              </w:rPr>
            </w:pPr>
            <w:r w:rsidRPr="005333C7">
              <w:rPr>
                <w:rFonts w:ascii="Arial Narrow" w:eastAsia="Times New Roman" w:hAnsi="Arial Narrow" w:cs="Times New Roman"/>
                <w:sz w:val="16"/>
                <w:szCs w:val="16"/>
              </w:rPr>
              <w:t xml:space="preserve">235 per 1,000 </w:t>
            </w:r>
          </w:p>
        </w:tc>
        <w:tc>
          <w:tcPr>
            <w:tcW w:w="600" w:type="pct"/>
            <w:tcBorders>
              <w:top w:val="single" w:sz="6" w:space="0" w:color="000000"/>
              <w:left w:val="nil"/>
              <w:bottom w:val="single" w:sz="6" w:space="0" w:color="000000"/>
              <w:right w:val="nil"/>
            </w:tcBorders>
            <w:shd w:val="clear" w:color="auto" w:fill="EBEBEB"/>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b/>
                <w:bCs/>
                <w:sz w:val="18"/>
                <w:szCs w:val="18"/>
              </w:rPr>
              <w:t>702 per 1,000</w:t>
            </w:r>
            <w:r w:rsidRPr="005333C7">
              <w:rPr>
                <w:rFonts w:ascii="Arial Narrow" w:eastAsia="Times New Roman" w:hAnsi="Arial Narrow" w:cs="Times New Roman"/>
                <w:sz w:val="18"/>
                <w:szCs w:val="18"/>
              </w:rPr>
              <w:br/>
              <w:t>(535 to 920)</w:t>
            </w:r>
            <w:r w:rsidRPr="005333C7">
              <w:rPr>
                <w:rFonts w:ascii="Arial Narrow" w:eastAsia="Times New Roman" w:hAnsi="Arial Narrow" w:cs="Times New Roman"/>
                <w:sz w:val="16"/>
                <w:szCs w:val="16"/>
              </w:rPr>
              <w:t xml:space="preserve"> </w:t>
            </w:r>
          </w:p>
        </w:tc>
        <w:tc>
          <w:tcPr>
            <w:tcW w:w="600"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b/>
                <w:bCs/>
                <w:sz w:val="16"/>
                <w:szCs w:val="16"/>
              </w:rPr>
              <w:t>RR 2.99</w:t>
            </w:r>
            <w:r w:rsidRPr="005333C7">
              <w:rPr>
                <w:rFonts w:ascii="Arial Narrow" w:eastAsia="Times New Roman" w:hAnsi="Arial Narrow" w:cs="Times New Roman"/>
                <w:sz w:val="16"/>
                <w:szCs w:val="16"/>
              </w:rPr>
              <w:br/>
              <w:t xml:space="preserve">(2.28 to 3.92) </w:t>
            </w:r>
          </w:p>
        </w:tc>
        <w:tc>
          <w:tcPr>
            <w:tcW w:w="600"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448</w:t>
            </w:r>
            <w:r w:rsidRPr="005333C7">
              <w:rPr>
                <w:rFonts w:ascii="Arial Narrow" w:eastAsia="Times New Roman" w:hAnsi="Arial Narrow" w:cs="Times New Roman"/>
                <w:sz w:val="16"/>
                <w:szCs w:val="16"/>
              </w:rPr>
              <w:br/>
              <w:t xml:space="preserve">(5 RCTs) </w:t>
            </w:r>
          </w:p>
        </w:tc>
        <w:tc>
          <w:tcPr>
            <w:tcW w:w="388"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Cambria Math" w:eastAsia="Times New Roman" w:hAnsi="Cambria Math" w:cs="Cambria Math"/>
                <w:sz w:val="21"/>
                <w:szCs w:val="21"/>
              </w:rPr>
              <w:t>⨁⨁◯◯</w:t>
            </w:r>
            <w:r w:rsidRPr="005333C7">
              <w:rPr>
                <w:rFonts w:ascii="Arial Narrow" w:eastAsia="Times New Roman" w:hAnsi="Arial Narrow" w:cs="Times New Roman"/>
                <w:sz w:val="16"/>
                <w:szCs w:val="16"/>
              </w:rPr>
              <w:br/>
              <w:t xml:space="preserve">LOW </w:t>
            </w:r>
            <w:r w:rsidRPr="005333C7">
              <w:rPr>
                <w:rFonts w:ascii="Arial Narrow" w:eastAsia="Times New Roman" w:hAnsi="Arial Narrow" w:cs="Times New Roman"/>
                <w:sz w:val="16"/>
                <w:szCs w:val="16"/>
                <w:vertAlign w:val="superscript"/>
              </w:rPr>
              <w:t>a</w:t>
            </w:r>
          </w:p>
        </w:tc>
      </w:tr>
      <w:tr w:rsidR="00EF5FD1" w:rsidRPr="005333C7" w:rsidTr="002C4EEF">
        <w:trPr>
          <w:gridAfter w:val="1"/>
          <w:wAfter w:w="1300" w:type="pct"/>
          <w:cantSplit/>
        </w:trPr>
        <w:tc>
          <w:tcPr>
            <w:tcW w:w="912"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8"/>
                <w:szCs w:val="18"/>
              </w:rPr>
              <w:t>Weight Change</w:t>
            </w:r>
            <w:r w:rsidRPr="005333C7">
              <w:rPr>
                <w:rFonts w:ascii="Arial Narrow" w:eastAsia="Times New Roman" w:hAnsi="Arial Narrow" w:cs="Times New Roman"/>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 xml:space="preserve">The mean weight Change was </w:t>
            </w:r>
            <w:r w:rsidRPr="005333C7">
              <w:rPr>
                <w:rFonts w:ascii="Arial Narrow" w:eastAsia="Times New Roman" w:hAnsi="Arial Narrow" w:cs="Times New Roman"/>
                <w:b/>
                <w:bCs/>
                <w:sz w:val="16"/>
                <w:szCs w:val="16"/>
              </w:rPr>
              <w:t>5.65</w:t>
            </w:r>
            <w:r w:rsidRPr="005333C7">
              <w:rPr>
                <w:rFonts w:ascii="Arial Narrow" w:eastAsia="Times New Roman" w:hAnsi="Arial Narrow" w:cs="Times New Roman"/>
                <w:sz w:val="16"/>
                <w:szCs w:val="16"/>
              </w:rPr>
              <w:t xml:space="preserve"> Kg </w:t>
            </w:r>
          </w:p>
        </w:tc>
        <w:tc>
          <w:tcPr>
            <w:tcW w:w="600" w:type="pct"/>
            <w:tcBorders>
              <w:top w:val="single" w:sz="6" w:space="0" w:color="000000"/>
              <w:left w:val="nil"/>
              <w:bottom w:val="single" w:sz="6" w:space="0" w:color="000000"/>
              <w:right w:val="nil"/>
            </w:tcBorders>
            <w:shd w:val="clear" w:color="auto" w:fill="EBEBEB"/>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 xml:space="preserve">MD </w:t>
            </w:r>
            <w:r w:rsidRPr="005333C7">
              <w:rPr>
                <w:rFonts w:ascii="Arial Narrow" w:eastAsia="Times New Roman" w:hAnsi="Arial Narrow" w:cs="Times New Roman"/>
                <w:b/>
                <w:bCs/>
                <w:sz w:val="16"/>
                <w:szCs w:val="16"/>
              </w:rPr>
              <w:t>5.65 Kg higher</w:t>
            </w:r>
            <w:r w:rsidRPr="005333C7">
              <w:rPr>
                <w:rFonts w:ascii="Arial Narrow" w:eastAsia="Times New Roman" w:hAnsi="Arial Narrow" w:cs="Times New Roman"/>
                <w:sz w:val="16"/>
                <w:szCs w:val="16"/>
              </w:rPr>
              <w:br/>
              <w:t xml:space="preserve">(0.8 lower to 12.11 higher) </w:t>
            </w:r>
          </w:p>
        </w:tc>
        <w:tc>
          <w:tcPr>
            <w:tcW w:w="600"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 xml:space="preserve">- </w:t>
            </w:r>
          </w:p>
        </w:tc>
        <w:tc>
          <w:tcPr>
            <w:tcW w:w="600"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382</w:t>
            </w:r>
            <w:r w:rsidRPr="005333C7">
              <w:rPr>
                <w:rFonts w:ascii="Arial Narrow" w:eastAsia="Times New Roman" w:hAnsi="Arial Narrow" w:cs="Times New Roman"/>
                <w:sz w:val="16"/>
                <w:szCs w:val="16"/>
              </w:rPr>
              <w:br/>
              <w:t xml:space="preserve">(3 RCTs) </w:t>
            </w:r>
          </w:p>
        </w:tc>
        <w:tc>
          <w:tcPr>
            <w:tcW w:w="388"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Cambria Math" w:eastAsia="Times New Roman" w:hAnsi="Cambria Math" w:cs="Cambria Math"/>
                <w:sz w:val="21"/>
                <w:szCs w:val="21"/>
              </w:rPr>
              <w:t>⨁◯◯◯</w:t>
            </w:r>
            <w:r w:rsidRPr="005333C7">
              <w:rPr>
                <w:rFonts w:ascii="Arial Narrow" w:eastAsia="Times New Roman" w:hAnsi="Arial Narrow" w:cs="Times New Roman"/>
                <w:sz w:val="16"/>
                <w:szCs w:val="16"/>
              </w:rPr>
              <w:br/>
              <w:t xml:space="preserve">VERY LOW </w:t>
            </w:r>
            <w:r w:rsidRPr="005333C7">
              <w:rPr>
                <w:rFonts w:ascii="Arial Narrow" w:eastAsia="Times New Roman" w:hAnsi="Arial Narrow" w:cs="Times New Roman"/>
                <w:sz w:val="16"/>
                <w:szCs w:val="16"/>
                <w:vertAlign w:val="superscript"/>
              </w:rPr>
              <w:t>b</w:t>
            </w:r>
          </w:p>
        </w:tc>
      </w:tr>
      <w:tr w:rsidR="00EF5FD1" w:rsidRPr="005333C7" w:rsidTr="002C4EEF">
        <w:trPr>
          <w:gridAfter w:val="1"/>
          <w:wAfter w:w="1300" w:type="pct"/>
          <w:cantSplit/>
        </w:trPr>
        <w:tc>
          <w:tcPr>
            <w:tcW w:w="912"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8"/>
                <w:szCs w:val="18"/>
              </w:rPr>
              <w:t xml:space="preserve">Level of alanine transaminase </w:t>
            </w:r>
          </w:p>
        </w:tc>
        <w:tc>
          <w:tcPr>
            <w:tcW w:w="600" w:type="pct"/>
            <w:tcBorders>
              <w:top w:val="single" w:sz="6" w:space="0" w:color="000000"/>
              <w:left w:val="nil"/>
              <w:bottom w:val="single" w:sz="6" w:space="0" w:color="000000"/>
              <w:right w:val="nil"/>
            </w:tcBorders>
            <w:shd w:val="clear" w:color="auto" w:fill="EBEBEB"/>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 xml:space="preserve">- </w:t>
            </w:r>
          </w:p>
        </w:tc>
        <w:tc>
          <w:tcPr>
            <w:tcW w:w="600" w:type="pct"/>
            <w:tcBorders>
              <w:top w:val="single" w:sz="6" w:space="0" w:color="000000"/>
              <w:left w:val="nil"/>
              <w:bottom w:val="single" w:sz="6" w:space="0" w:color="000000"/>
              <w:right w:val="nil"/>
            </w:tcBorders>
            <w:shd w:val="clear" w:color="auto" w:fill="EBEBEB"/>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 xml:space="preserve">SMD </w:t>
            </w:r>
            <w:r w:rsidRPr="005333C7">
              <w:rPr>
                <w:rFonts w:ascii="Arial Narrow" w:eastAsia="Times New Roman" w:hAnsi="Arial Narrow" w:cs="Times New Roman"/>
                <w:b/>
                <w:bCs/>
                <w:sz w:val="16"/>
                <w:szCs w:val="16"/>
              </w:rPr>
              <w:t>33.98 SD lower</w:t>
            </w:r>
            <w:r w:rsidRPr="005333C7">
              <w:rPr>
                <w:rFonts w:ascii="Arial Narrow" w:eastAsia="Times New Roman" w:hAnsi="Arial Narrow" w:cs="Times New Roman"/>
                <w:sz w:val="16"/>
                <w:szCs w:val="16"/>
              </w:rPr>
              <w:br/>
              <w:t xml:space="preserve">(81.05 lower to 13.09 higher) </w:t>
            </w:r>
          </w:p>
        </w:tc>
        <w:tc>
          <w:tcPr>
            <w:tcW w:w="600"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 xml:space="preserve">- </w:t>
            </w:r>
          </w:p>
        </w:tc>
        <w:tc>
          <w:tcPr>
            <w:tcW w:w="600"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325</w:t>
            </w:r>
            <w:r w:rsidRPr="005333C7">
              <w:rPr>
                <w:rFonts w:ascii="Arial Narrow" w:eastAsia="Times New Roman" w:hAnsi="Arial Narrow" w:cs="Times New Roman"/>
                <w:sz w:val="16"/>
                <w:szCs w:val="16"/>
              </w:rPr>
              <w:br/>
              <w:t xml:space="preserve">(2 RCTs) </w:t>
            </w:r>
          </w:p>
        </w:tc>
        <w:tc>
          <w:tcPr>
            <w:tcW w:w="388"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Cambria Math" w:eastAsia="Times New Roman" w:hAnsi="Cambria Math" w:cs="Cambria Math"/>
                <w:sz w:val="21"/>
                <w:szCs w:val="21"/>
              </w:rPr>
              <w:t>⨁◯◯◯</w:t>
            </w:r>
            <w:r w:rsidRPr="005333C7">
              <w:rPr>
                <w:rFonts w:ascii="Arial Narrow" w:eastAsia="Times New Roman" w:hAnsi="Arial Narrow" w:cs="Times New Roman"/>
                <w:sz w:val="16"/>
                <w:szCs w:val="16"/>
              </w:rPr>
              <w:br/>
              <w:t xml:space="preserve">VERY LOW </w:t>
            </w:r>
            <w:r w:rsidRPr="005333C7">
              <w:rPr>
                <w:rFonts w:ascii="Arial Narrow" w:eastAsia="Times New Roman" w:hAnsi="Arial Narrow" w:cs="Times New Roman"/>
                <w:sz w:val="16"/>
                <w:szCs w:val="16"/>
                <w:vertAlign w:val="superscript"/>
              </w:rPr>
              <w:t>c</w:t>
            </w:r>
          </w:p>
        </w:tc>
      </w:tr>
      <w:tr w:rsidR="00EF5FD1" w:rsidRPr="005333C7" w:rsidTr="002C4EEF">
        <w:trPr>
          <w:gridAfter w:val="1"/>
          <w:wAfter w:w="1300" w:type="pct"/>
          <w:cantSplit/>
        </w:trPr>
        <w:tc>
          <w:tcPr>
            <w:tcW w:w="912"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8"/>
                <w:szCs w:val="18"/>
              </w:rPr>
              <w:t>Total bilirubin</w:t>
            </w:r>
            <w:r w:rsidRPr="005333C7">
              <w:rPr>
                <w:rFonts w:ascii="Arial Narrow" w:eastAsia="Times New Roman" w:hAnsi="Arial Narrow" w:cs="Times New Roman"/>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 xml:space="preserve">The mean total bilirubin was </w:t>
            </w:r>
            <w:r w:rsidRPr="005333C7">
              <w:rPr>
                <w:rFonts w:ascii="Arial Narrow" w:eastAsia="Times New Roman" w:hAnsi="Arial Narrow" w:cs="Times New Roman"/>
                <w:b/>
                <w:bCs/>
                <w:sz w:val="16"/>
                <w:szCs w:val="16"/>
              </w:rPr>
              <w:t>5.82</w:t>
            </w:r>
            <w:r w:rsidRPr="005333C7">
              <w:rPr>
                <w:rFonts w:ascii="Arial Narrow" w:eastAsia="Times New Roman" w:hAnsi="Arial Narrow" w:cs="Times New Roman"/>
                <w:sz w:val="16"/>
                <w:szCs w:val="16"/>
              </w:rPr>
              <w:t xml:space="preserve"> mg/dL </w:t>
            </w:r>
          </w:p>
        </w:tc>
        <w:tc>
          <w:tcPr>
            <w:tcW w:w="600" w:type="pct"/>
            <w:tcBorders>
              <w:top w:val="single" w:sz="6" w:space="0" w:color="000000"/>
              <w:left w:val="nil"/>
              <w:bottom w:val="single" w:sz="6" w:space="0" w:color="000000"/>
              <w:right w:val="nil"/>
            </w:tcBorders>
            <w:shd w:val="clear" w:color="auto" w:fill="EBEBEB"/>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 xml:space="preserve">MD </w:t>
            </w:r>
            <w:r w:rsidRPr="005333C7">
              <w:rPr>
                <w:rFonts w:ascii="Arial Narrow" w:eastAsia="Times New Roman" w:hAnsi="Arial Narrow" w:cs="Times New Roman"/>
                <w:b/>
                <w:bCs/>
                <w:sz w:val="16"/>
                <w:szCs w:val="16"/>
              </w:rPr>
              <w:t>5.82 mg/dL lower</w:t>
            </w:r>
            <w:r w:rsidRPr="005333C7">
              <w:rPr>
                <w:rFonts w:ascii="Arial Narrow" w:eastAsia="Times New Roman" w:hAnsi="Arial Narrow" w:cs="Times New Roman"/>
                <w:sz w:val="16"/>
                <w:szCs w:val="16"/>
              </w:rPr>
              <w:br/>
              <w:t xml:space="preserve">(14.99 lower to 3.35 higher) </w:t>
            </w:r>
          </w:p>
        </w:tc>
        <w:tc>
          <w:tcPr>
            <w:tcW w:w="600"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 xml:space="preserve">- </w:t>
            </w:r>
          </w:p>
        </w:tc>
        <w:tc>
          <w:tcPr>
            <w:tcW w:w="600"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325</w:t>
            </w:r>
            <w:r w:rsidRPr="005333C7">
              <w:rPr>
                <w:rFonts w:ascii="Arial Narrow" w:eastAsia="Times New Roman" w:hAnsi="Arial Narrow" w:cs="Times New Roman"/>
                <w:sz w:val="16"/>
                <w:szCs w:val="16"/>
              </w:rPr>
              <w:br/>
              <w:t xml:space="preserve">(2 RCTs) </w:t>
            </w:r>
          </w:p>
        </w:tc>
        <w:tc>
          <w:tcPr>
            <w:tcW w:w="388"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Cambria Math" w:eastAsia="Times New Roman" w:hAnsi="Cambria Math" w:cs="Cambria Math"/>
                <w:sz w:val="21"/>
                <w:szCs w:val="21"/>
              </w:rPr>
              <w:t>⨁◯◯◯</w:t>
            </w:r>
            <w:r w:rsidRPr="005333C7">
              <w:rPr>
                <w:rFonts w:ascii="Arial Narrow" w:eastAsia="Times New Roman" w:hAnsi="Arial Narrow" w:cs="Times New Roman"/>
                <w:sz w:val="16"/>
                <w:szCs w:val="16"/>
              </w:rPr>
              <w:br/>
              <w:t xml:space="preserve">VERY LOW </w:t>
            </w:r>
            <w:r w:rsidRPr="005333C7">
              <w:rPr>
                <w:rFonts w:ascii="Arial Narrow" w:eastAsia="Times New Roman" w:hAnsi="Arial Narrow" w:cs="Times New Roman"/>
                <w:sz w:val="16"/>
                <w:szCs w:val="16"/>
                <w:vertAlign w:val="superscript"/>
              </w:rPr>
              <w:t>c</w:t>
            </w:r>
          </w:p>
        </w:tc>
      </w:tr>
      <w:tr w:rsidR="00EF5FD1" w:rsidRPr="005333C7" w:rsidTr="002C4EEF">
        <w:trPr>
          <w:gridAfter w:val="1"/>
          <w:wAfter w:w="1300" w:type="pct"/>
          <w:cantSplit/>
        </w:trPr>
        <w:tc>
          <w:tcPr>
            <w:tcW w:w="912"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8"/>
                <w:szCs w:val="18"/>
              </w:rPr>
              <w:t xml:space="preserve">Body temperature </w:t>
            </w:r>
          </w:p>
        </w:tc>
        <w:tc>
          <w:tcPr>
            <w:tcW w:w="600" w:type="pct"/>
            <w:tcBorders>
              <w:top w:val="single" w:sz="6" w:space="0" w:color="000000"/>
              <w:left w:val="nil"/>
              <w:bottom w:val="single" w:sz="6" w:space="0" w:color="000000"/>
              <w:right w:val="nil"/>
            </w:tcBorders>
            <w:shd w:val="clear" w:color="auto" w:fill="EBEBEB"/>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 xml:space="preserve">The mean body temperature was </w:t>
            </w:r>
            <w:r w:rsidRPr="005333C7">
              <w:rPr>
                <w:rFonts w:ascii="Arial Narrow" w:eastAsia="Times New Roman" w:hAnsi="Arial Narrow" w:cs="Times New Roman"/>
                <w:b/>
                <w:bCs/>
                <w:sz w:val="16"/>
                <w:szCs w:val="16"/>
              </w:rPr>
              <w:t>0.2</w:t>
            </w:r>
            <w:r w:rsidRPr="005333C7">
              <w:rPr>
                <w:rFonts w:ascii="Arial Narrow" w:eastAsia="Times New Roman" w:hAnsi="Arial Narrow" w:cs="Times New Roman"/>
                <w:sz w:val="16"/>
                <w:szCs w:val="16"/>
              </w:rPr>
              <w:t xml:space="preserve"> Degree Celsius </w:t>
            </w:r>
          </w:p>
        </w:tc>
        <w:tc>
          <w:tcPr>
            <w:tcW w:w="600" w:type="pct"/>
            <w:tcBorders>
              <w:top w:val="single" w:sz="6" w:space="0" w:color="000000"/>
              <w:left w:val="nil"/>
              <w:bottom w:val="single" w:sz="6" w:space="0" w:color="000000"/>
              <w:right w:val="nil"/>
            </w:tcBorders>
            <w:shd w:val="clear" w:color="auto" w:fill="EBEBEB"/>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 xml:space="preserve">MD </w:t>
            </w:r>
            <w:r w:rsidRPr="005333C7">
              <w:rPr>
                <w:rFonts w:ascii="Arial Narrow" w:eastAsia="Times New Roman" w:hAnsi="Arial Narrow" w:cs="Times New Roman"/>
                <w:b/>
                <w:bCs/>
                <w:sz w:val="16"/>
                <w:szCs w:val="16"/>
              </w:rPr>
              <w:t>0.2 Degree Celsius lower</w:t>
            </w:r>
            <w:r w:rsidRPr="005333C7">
              <w:rPr>
                <w:rFonts w:ascii="Arial Narrow" w:eastAsia="Times New Roman" w:hAnsi="Arial Narrow" w:cs="Times New Roman"/>
                <w:sz w:val="16"/>
                <w:szCs w:val="16"/>
              </w:rPr>
              <w:br/>
              <w:t xml:space="preserve">(0.22 lower to 0.18 lower) </w:t>
            </w:r>
          </w:p>
        </w:tc>
        <w:tc>
          <w:tcPr>
            <w:tcW w:w="600"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 xml:space="preserve">- </w:t>
            </w:r>
          </w:p>
        </w:tc>
        <w:tc>
          <w:tcPr>
            <w:tcW w:w="600"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Arial Narrow" w:eastAsia="Times New Roman" w:hAnsi="Arial Narrow" w:cs="Times New Roman"/>
                <w:sz w:val="16"/>
                <w:szCs w:val="16"/>
              </w:rPr>
              <w:t>345</w:t>
            </w:r>
            <w:r w:rsidRPr="005333C7">
              <w:rPr>
                <w:rFonts w:ascii="Arial Narrow" w:eastAsia="Times New Roman" w:hAnsi="Arial Narrow" w:cs="Times New Roman"/>
                <w:sz w:val="16"/>
                <w:szCs w:val="16"/>
              </w:rPr>
              <w:br/>
              <w:t xml:space="preserve">(2 RCTs) </w:t>
            </w:r>
          </w:p>
        </w:tc>
        <w:tc>
          <w:tcPr>
            <w:tcW w:w="388" w:type="pct"/>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jc w:val="center"/>
              <w:rPr>
                <w:rFonts w:ascii="Arial Narrow" w:eastAsia="Times New Roman" w:hAnsi="Arial Narrow" w:cs="Times New Roman"/>
                <w:sz w:val="16"/>
                <w:szCs w:val="16"/>
              </w:rPr>
            </w:pPr>
            <w:r w:rsidRPr="005333C7">
              <w:rPr>
                <w:rFonts w:ascii="Cambria Math" w:eastAsia="Times New Roman" w:hAnsi="Cambria Math" w:cs="Cambria Math"/>
                <w:sz w:val="21"/>
                <w:szCs w:val="21"/>
              </w:rPr>
              <w:t>⨁⨁◯◯</w:t>
            </w:r>
            <w:r w:rsidRPr="005333C7">
              <w:rPr>
                <w:rFonts w:ascii="Arial Narrow" w:eastAsia="Times New Roman" w:hAnsi="Arial Narrow" w:cs="Times New Roman"/>
                <w:sz w:val="16"/>
                <w:szCs w:val="16"/>
              </w:rPr>
              <w:br/>
              <w:t xml:space="preserve">LOW </w:t>
            </w:r>
            <w:r w:rsidRPr="005333C7">
              <w:rPr>
                <w:rFonts w:ascii="Arial Narrow" w:eastAsia="Times New Roman" w:hAnsi="Arial Narrow" w:cs="Times New Roman"/>
                <w:sz w:val="16"/>
                <w:szCs w:val="16"/>
                <w:vertAlign w:val="superscript"/>
              </w:rPr>
              <w:t>d</w:t>
            </w:r>
          </w:p>
        </w:tc>
      </w:tr>
      <w:tr w:rsidR="00EF5FD1" w:rsidRPr="005333C7" w:rsidTr="002C4EEF">
        <w:trPr>
          <w:cantSplit/>
        </w:trPr>
        <w:tc>
          <w:tcPr>
            <w:tcW w:w="5000" w:type="pct"/>
            <w:gridSpan w:val="7"/>
            <w:tcBorders>
              <w:top w:val="single" w:sz="6" w:space="0" w:color="000000"/>
              <w:left w:val="nil"/>
              <w:bottom w:val="single" w:sz="6" w:space="0" w:color="000000"/>
              <w:right w:val="nil"/>
            </w:tcBorders>
            <w:vAlign w:val="center"/>
            <w:hideMark/>
          </w:tcPr>
          <w:p w:rsidR="00EF5FD1" w:rsidRDefault="00EF5FD1" w:rsidP="002C4EEF">
            <w:pPr>
              <w:spacing w:line="259" w:lineRule="auto"/>
              <w:rPr>
                <w:rFonts w:ascii="Arial Narrow" w:eastAsia="Times New Roman" w:hAnsi="Arial Narrow" w:cs="Times New Roman"/>
                <w:sz w:val="16"/>
                <w:szCs w:val="16"/>
              </w:rPr>
            </w:pPr>
            <w:r w:rsidRPr="005333C7">
              <w:rPr>
                <w:rFonts w:ascii="Arial Narrow" w:eastAsia="Times New Roman" w:hAnsi="Arial Narrow" w:cs="Times New Roman"/>
                <w:sz w:val="16"/>
                <w:szCs w:val="16"/>
              </w:rPr>
              <w:t>*</w:t>
            </w:r>
            <w:r w:rsidRPr="005333C7">
              <w:rPr>
                <w:rFonts w:ascii="Arial Narrow" w:eastAsia="Times New Roman" w:hAnsi="Arial Narrow" w:cs="Times New Roman"/>
                <w:b/>
                <w:bCs/>
                <w:sz w:val="16"/>
                <w:szCs w:val="16"/>
              </w:rPr>
              <w:t>The risk in the intervention group</w:t>
            </w:r>
            <w:r w:rsidRPr="005333C7">
              <w:rPr>
                <w:rFonts w:ascii="Arial Narrow" w:eastAsia="Times New Roman" w:hAnsi="Arial Narrow" w:cs="Times New Roman"/>
                <w:sz w:val="16"/>
                <w:szCs w:val="16"/>
              </w:rPr>
              <w:t xml:space="preserve"> (and its 95% confidence interval) is based on the assumed risk in the comparison group and the </w:t>
            </w:r>
            <w:r w:rsidRPr="005333C7">
              <w:rPr>
                <w:rFonts w:ascii="Arial Narrow" w:eastAsia="Times New Roman" w:hAnsi="Arial Narrow" w:cs="Times New Roman"/>
                <w:b/>
                <w:bCs/>
                <w:sz w:val="16"/>
                <w:szCs w:val="16"/>
              </w:rPr>
              <w:t>relative effect</w:t>
            </w:r>
            <w:r w:rsidRPr="005333C7">
              <w:rPr>
                <w:rFonts w:ascii="Arial Narrow" w:eastAsia="Times New Roman" w:hAnsi="Arial Narrow" w:cs="Times New Roman"/>
                <w:sz w:val="16"/>
                <w:szCs w:val="16"/>
              </w:rPr>
              <w:t xml:space="preserve"> of the intervention (and its 95% CI). </w:t>
            </w:r>
            <w:r w:rsidRPr="005333C7">
              <w:rPr>
                <w:rFonts w:ascii="Arial Narrow" w:eastAsia="Times New Roman" w:hAnsi="Arial Narrow" w:cs="Times New Roman"/>
                <w:sz w:val="16"/>
                <w:szCs w:val="16"/>
              </w:rPr>
              <w:br/>
            </w:r>
            <w:r w:rsidRPr="005333C7">
              <w:rPr>
                <w:rFonts w:ascii="Arial Narrow" w:eastAsia="Times New Roman" w:hAnsi="Arial Narrow" w:cs="Times New Roman"/>
                <w:b/>
                <w:bCs/>
                <w:sz w:val="16"/>
                <w:szCs w:val="16"/>
              </w:rPr>
              <w:t>CI:</w:t>
            </w:r>
            <w:r w:rsidRPr="005333C7">
              <w:rPr>
                <w:rFonts w:ascii="Arial Narrow" w:eastAsia="Times New Roman" w:hAnsi="Arial Narrow" w:cs="Times New Roman"/>
                <w:sz w:val="16"/>
                <w:szCs w:val="16"/>
              </w:rPr>
              <w:t xml:space="preserve"> Confidence interval; </w:t>
            </w:r>
            <w:r w:rsidRPr="005333C7">
              <w:rPr>
                <w:rFonts w:ascii="Arial Narrow" w:eastAsia="Times New Roman" w:hAnsi="Arial Narrow" w:cs="Times New Roman"/>
                <w:b/>
                <w:bCs/>
                <w:sz w:val="16"/>
                <w:szCs w:val="16"/>
              </w:rPr>
              <w:t>RR:</w:t>
            </w:r>
            <w:r w:rsidRPr="005333C7">
              <w:rPr>
                <w:rFonts w:ascii="Arial Narrow" w:eastAsia="Times New Roman" w:hAnsi="Arial Narrow" w:cs="Times New Roman"/>
                <w:sz w:val="16"/>
                <w:szCs w:val="16"/>
              </w:rPr>
              <w:t xml:space="preserve"> Risk ratio; </w:t>
            </w:r>
            <w:r w:rsidRPr="005333C7">
              <w:rPr>
                <w:rFonts w:ascii="Arial Narrow" w:eastAsia="Times New Roman" w:hAnsi="Arial Narrow" w:cs="Times New Roman"/>
                <w:b/>
                <w:bCs/>
                <w:sz w:val="16"/>
                <w:szCs w:val="16"/>
              </w:rPr>
              <w:t>MD:</w:t>
            </w:r>
            <w:r w:rsidRPr="005333C7">
              <w:rPr>
                <w:rFonts w:ascii="Arial Narrow" w:eastAsia="Times New Roman" w:hAnsi="Arial Narrow" w:cs="Times New Roman"/>
                <w:sz w:val="16"/>
                <w:szCs w:val="16"/>
              </w:rPr>
              <w:t xml:space="preserve"> Mean difference; </w:t>
            </w:r>
            <w:r w:rsidRPr="005333C7">
              <w:rPr>
                <w:rFonts w:ascii="Arial Narrow" w:eastAsia="Times New Roman" w:hAnsi="Arial Narrow" w:cs="Times New Roman"/>
                <w:b/>
                <w:bCs/>
                <w:sz w:val="16"/>
                <w:szCs w:val="16"/>
              </w:rPr>
              <w:t>SMD:</w:t>
            </w:r>
            <w:r w:rsidRPr="005333C7">
              <w:rPr>
                <w:rFonts w:ascii="Arial Narrow" w:eastAsia="Times New Roman" w:hAnsi="Arial Narrow" w:cs="Times New Roman"/>
                <w:sz w:val="16"/>
                <w:szCs w:val="16"/>
              </w:rPr>
              <w:t xml:space="preserve"> Standardised mean difference </w:t>
            </w:r>
          </w:p>
          <w:p w:rsidR="00EF5FD1" w:rsidRPr="005333C7" w:rsidRDefault="00EF5FD1" w:rsidP="002C4EEF">
            <w:pPr>
              <w:rPr>
                <w:rFonts w:ascii="Arial Narrow" w:eastAsia="Times New Roman" w:hAnsi="Arial Narrow" w:cs="Times New Roman"/>
                <w:sz w:val="16"/>
                <w:szCs w:val="16"/>
              </w:rPr>
            </w:pPr>
          </w:p>
        </w:tc>
      </w:tr>
      <w:tr w:rsidR="00EF5FD1" w:rsidRPr="005333C7" w:rsidTr="002C4EEF">
        <w:trPr>
          <w:cantSplit/>
        </w:trPr>
        <w:tc>
          <w:tcPr>
            <w:tcW w:w="5000" w:type="pct"/>
            <w:gridSpan w:val="7"/>
            <w:tcBorders>
              <w:top w:val="single" w:sz="6" w:space="0" w:color="000000"/>
              <w:left w:val="nil"/>
              <w:bottom w:val="single" w:sz="6" w:space="0" w:color="000000"/>
              <w:right w:val="nil"/>
            </w:tcBorders>
            <w:vAlign w:val="center"/>
            <w:hideMark/>
          </w:tcPr>
          <w:p w:rsidR="00EF5FD1" w:rsidRPr="005333C7" w:rsidRDefault="00EF5FD1" w:rsidP="002C4EEF">
            <w:pPr>
              <w:spacing w:line="259" w:lineRule="auto"/>
              <w:rPr>
                <w:rFonts w:ascii="Arial Narrow" w:eastAsia="Times New Roman" w:hAnsi="Arial Narrow" w:cs="Times New Roman"/>
                <w:sz w:val="16"/>
                <w:szCs w:val="16"/>
              </w:rPr>
            </w:pPr>
            <w:r w:rsidRPr="005333C7">
              <w:rPr>
                <w:rFonts w:ascii="Arial Narrow" w:eastAsia="Times New Roman" w:hAnsi="Arial Narrow" w:cs="Times New Roman"/>
                <w:b/>
                <w:bCs/>
                <w:sz w:val="16"/>
                <w:szCs w:val="16"/>
              </w:rPr>
              <w:lastRenderedPageBreak/>
              <w:t>GRADE Working Group grades of evidence</w:t>
            </w:r>
            <w:r w:rsidRPr="005333C7">
              <w:rPr>
                <w:rFonts w:ascii="Arial Narrow" w:eastAsia="Times New Roman" w:hAnsi="Arial Narrow" w:cs="Times New Roman"/>
                <w:sz w:val="16"/>
                <w:szCs w:val="16"/>
              </w:rPr>
              <w:br/>
            </w:r>
            <w:r w:rsidRPr="005333C7">
              <w:rPr>
                <w:rFonts w:ascii="Arial Narrow" w:eastAsia="Times New Roman" w:hAnsi="Arial Narrow" w:cs="Times New Roman"/>
                <w:b/>
                <w:bCs/>
                <w:sz w:val="16"/>
                <w:szCs w:val="16"/>
              </w:rPr>
              <w:t>High certainty:</w:t>
            </w:r>
            <w:r w:rsidRPr="005333C7">
              <w:rPr>
                <w:rFonts w:ascii="Arial Narrow" w:eastAsia="Times New Roman" w:hAnsi="Arial Narrow" w:cs="Times New Roman"/>
                <w:sz w:val="16"/>
                <w:szCs w:val="16"/>
              </w:rPr>
              <w:t xml:space="preserve"> We are very confident that the true effect lies close to that of the estimate of the effect</w:t>
            </w:r>
            <w:r w:rsidRPr="005333C7">
              <w:rPr>
                <w:rFonts w:ascii="Arial Narrow" w:eastAsia="Times New Roman" w:hAnsi="Arial Narrow" w:cs="Times New Roman"/>
                <w:sz w:val="16"/>
                <w:szCs w:val="16"/>
              </w:rPr>
              <w:br/>
            </w:r>
            <w:r w:rsidRPr="005333C7">
              <w:rPr>
                <w:rFonts w:ascii="Arial Narrow" w:eastAsia="Times New Roman" w:hAnsi="Arial Narrow" w:cs="Times New Roman"/>
                <w:b/>
                <w:bCs/>
                <w:sz w:val="16"/>
                <w:szCs w:val="16"/>
              </w:rPr>
              <w:t>Moderate certainty:</w:t>
            </w:r>
            <w:r w:rsidRPr="005333C7">
              <w:rPr>
                <w:rFonts w:ascii="Arial Narrow" w:eastAsia="Times New Roman" w:hAnsi="Arial Narrow" w:cs="Times New Roman"/>
                <w:sz w:val="16"/>
                <w:szCs w:val="16"/>
              </w:rPr>
              <w:t xml:space="preserve"> We are moderately confident in the effect estimate: The true effect is likely to be close to the estimate of the effect, but there is a possibility that it is substantially different</w:t>
            </w:r>
            <w:r w:rsidRPr="005333C7">
              <w:rPr>
                <w:rFonts w:ascii="Arial Narrow" w:eastAsia="Times New Roman" w:hAnsi="Arial Narrow" w:cs="Times New Roman"/>
                <w:sz w:val="16"/>
                <w:szCs w:val="16"/>
              </w:rPr>
              <w:br/>
            </w:r>
            <w:r w:rsidRPr="005333C7">
              <w:rPr>
                <w:rFonts w:ascii="Arial Narrow" w:eastAsia="Times New Roman" w:hAnsi="Arial Narrow" w:cs="Times New Roman"/>
                <w:b/>
                <w:bCs/>
                <w:sz w:val="16"/>
                <w:szCs w:val="16"/>
              </w:rPr>
              <w:t>Low certainty:</w:t>
            </w:r>
            <w:r w:rsidRPr="005333C7">
              <w:rPr>
                <w:rFonts w:ascii="Arial Narrow" w:eastAsia="Times New Roman" w:hAnsi="Arial Narrow" w:cs="Times New Roman"/>
                <w:sz w:val="16"/>
                <w:szCs w:val="16"/>
              </w:rPr>
              <w:t xml:space="preserve"> Our confidence in the effect estimate is limited: The true effect may be substantially different from the estimate of the effect</w:t>
            </w:r>
            <w:r w:rsidRPr="005333C7">
              <w:rPr>
                <w:rFonts w:ascii="Arial Narrow" w:eastAsia="Times New Roman" w:hAnsi="Arial Narrow" w:cs="Times New Roman"/>
                <w:sz w:val="16"/>
                <w:szCs w:val="16"/>
              </w:rPr>
              <w:br/>
            </w:r>
            <w:r w:rsidRPr="005333C7">
              <w:rPr>
                <w:rFonts w:ascii="Arial Narrow" w:eastAsia="Times New Roman" w:hAnsi="Arial Narrow" w:cs="Times New Roman"/>
                <w:b/>
                <w:bCs/>
                <w:sz w:val="16"/>
                <w:szCs w:val="16"/>
              </w:rPr>
              <w:t>Very low certainty:</w:t>
            </w:r>
            <w:r w:rsidRPr="005333C7">
              <w:rPr>
                <w:rFonts w:ascii="Arial Narrow" w:eastAsia="Times New Roman" w:hAnsi="Arial Narrow" w:cs="Times New Roman"/>
                <w:sz w:val="16"/>
                <w:szCs w:val="16"/>
              </w:rPr>
              <w:t xml:space="preserve"> We have very little confidence in the effect estimate: The true effect is likely to be substantially different from the estimate of effect </w:t>
            </w:r>
          </w:p>
        </w:tc>
      </w:tr>
    </w:tbl>
    <w:p w:rsidR="00EF5FD1" w:rsidRPr="005333C7" w:rsidRDefault="00EF5FD1" w:rsidP="00EF5FD1">
      <w:pPr>
        <w:rPr>
          <w:rFonts w:eastAsia="Times New Roman"/>
          <w:lang w:val="en"/>
        </w:rPr>
      </w:pPr>
      <w:r w:rsidRPr="005333C7">
        <w:rPr>
          <w:rFonts w:eastAsia="Times New Roman"/>
          <w:lang w:val="en"/>
        </w:rPr>
        <w:t>E</w:t>
      </w:r>
      <w:r w:rsidRPr="00C013BF">
        <w:rPr>
          <w:rFonts w:eastAsia="Times New Roman"/>
          <w:b/>
          <w:bCs/>
          <w:lang w:val="en"/>
        </w:rPr>
        <w:t>xplanations</w:t>
      </w:r>
    </w:p>
    <w:p w:rsidR="00EF5FD1" w:rsidRPr="005333C7" w:rsidRDefault="00EF5FD1" w:rsidP="00EF5FD1">
      <w:pPr>
        <w:spacing w:line="259" w:lineRule="auto"/>
        <w:rPr>
          <w:rFonts w:ascii="Arial Narrow" w:eastAsia="Times New Roman" w:hAnsi="Arial Narrow" w:cs="Times New Roman"/>
          <w:color w:val="000000"/>
          <w:sz w:val="16"/>
          <w:szCs w:val="16"/>
          <w:lang w:val="en"/>
        </w:rPr>
      </w:pPr>
      <w:r w:rsidRPr="005333C7">
        <w:rPr>
          <w:rFonts w:ascii="Arial Narrow" w:eastAsia="Times New Roman" w:hAnsi="Arial Narrow" w:cs="Times New Roman"/>
          <w:color w:val="000000"/>
          <w:sz w:val="16"/>
          <w:szCs w:val="16"/>
          <w:lang w:val="en"/>
        </w:rPr>
        <w:t>a. There is serious concern regarding risk bias, all the included studies had a higher risk of bias due to unreported, inadequate or unclear methods of random sequence generation and lack of allocation concealment. We also noted imprecision due to limited number of participants and studies included</w:t>
      </w:r>
    </w:p>
    <w:p w:rsidR="00EF5FD1" w:rsidRPr="005333C7" w:rsidRDefault="00EF5FD1" w:rsidP="00EF5FD1">
      <w:pPr>
        <w:spacing w:line="259" w:lineRule="auto"/>
        <w:rPr>
          <w:rFonts w:ascii="Arial Narrow" w:eastAsia="Times New Roman" w:hAnsi="Arial Narrow" w:cs="Times New Roman"/>
          <w:color w:val="000000"/>
          <w:sz w:val="16"/>
          <w:szCs w:val="16"/>
          <w:lang w:val="en"/>
        </w:rPr>
      </w:pPr>
      <w:r w:rsidRPr="005333C7">
        <w:rPr>
          <w:rFonts w:ascii="Arial Narrow" w:eastAsia="Times New Roman" w:hAnsi="Arial Narrow" w:cs="Times New Roman"/>
          <w:color w:val="000000"/>
          <w:sz w:val="16"/>
          <w:szCs w:val="16"/>
          <w:lang w:val="en"/>
        </w:rPr>
        <w:t>b. Risk of bias due to unreported, inadequate, or unclear methods of random sequence generation and lack of allocation concealment. Inconsistency was also a major concern as there were considerable heterogeneity (heterogeneity: Tau2=32.11; Chi</w:t>
      </w:r>
      <w:r w:rsidRPr="005333C7">
        <w:rPr>
          <w:rFonts w:ascii="Arial Narrow" w:eastAsia="Times New Roman" w:hAnsi="Arial Narrow" w:cs="Times New Roman"/>
          <w:color w:val="000000"/>
          <w:sz w:val="16"/>
          <w:szCs w:val="16"/>
          <w:vertAlign w:val="superscript"/>
          <w:lang w:val="en"/>
        </w:rPr>
        <w:t>2</w:t>
      </w:r>
      <w:r w:rsidRPr="005333C7">
        <w:rPr>
          <w:rFonts w:ascii="Arial Narrow" w:eastAsia="Times New Roman" w:hAnsi="Arial Narrow" w:cs="Times New Roman"/>
          <w:color w:val="000000"/>
          <w:sz w:val="16"/>
          <w:szCs w:val="16"/>
          <w:lang w:val="en"/>
        </w:rPr>
        <w:t>=212.98, df=2 (P=0.00001); I</w:t>
      </w:r>
      <w:r w:rsidRPr="005333C7">
        <w:rPr>
          <w:rFonts w:ascii="Arial Narrow" w:eastAsia="Times New Roman" w:hAnsi="Arial Narrow" w:cs="Times New Roman"/>
          <w:color w:val="000000"/>
          <w:sz w:val="16"/>
          <w:szCs w:val="16"/>
          <w:vertAlign w:val="superscript"/>
          <w:lang w:val="en"/>
        </w:rPr>
        <w:t>2</w:t>
      </w:r>
      <w:r w:rsidRPr="005333C7">
        <w:rPr>
          <w:rFonts w:ascii="Arial Narrow" w:eastAsia="Times New Roman" w:hAnsi="Arial Narrow" w:cs="Times New Roman"/>
          <w:color w:val="000000"/>
          <w:sz w:val="16"/>
          <w:szCs w:val="16"/>
          <w:lang w:val="en"/>
        </w:rPr>
        <w:t xml:space="preserve">=99%). </w:t>
      </w:r>
    </w:p>
    <w:p w:rsidR="00EF5FD1" w:rsidRPr="005333C7" w:rsidRDefault="00EF5FD1" w:rsidP="00EF5FD1">
      <w:pPr>
        <w:spacing w:line="259" w:lineRule="auto"/>
        <w:rPr>
          <w:rFonts w:ascii="Arial Narrow" w:eastAsia="Times New Roman" w:hAnsi="Arial Narrow" w:cs="Times New Roman"/>
          <w:color w:val="000000"/>
          <w:sz w:val="16"/>
          <w:szCs w:val="16"/>
          <w:lang w:val="en"/>
        </w:rPr>
      </w:pPr>
      <w:r w:rsidRPr="005333C7">
        <w:rPr>
          <w:rFonts w:ascii="Arial Narrow" w:eastAsia="Times New Roman" w:hAnsi="Arial Narrow" w:cs="Times New Roman"/>
          <w:color w:val="000000"/>
          <w:sz w:val="16"/>
          <w:szCs w:val="16"/>
          <w:lang w:val="en"/>
        </w:rPr>
        <w:t xml:space="preserve">c. There is serious concern regarding risk bias, most included studies had a higher risk of bias arisen from the randomization process. In addition, inconsistency and imprecision were major concerns, imprecision due to limited number of included studies and there was substantial statistical heterogeneity and marked clinical heterogeneity. </w:t>
      </w:r>
    </w:p>
    <w:p w:rsidR="00EF5FD1" w:rsidRPr="005333C7" w:rsidRDefault="00EF5FD1" w:rsidP="00EF5FD1">
      <w:pPr>
        <w:spacing w:line="259" w:lineRule="auto"/>
        <w:rPr>
          <w:rFonts w:ascii="Arial Narrow" w:eastAsia="Times New Roman" w:hAnsi="Arial Narrow" w:cs="Times New Roman"/>
          <w:color w:val="000000"/>
          <w:sz w:val="16"/>
          <w:szCs w:val="16"/>
          <w:lang w:val="en"/>
        </w:rPr>
      </w:pPr>
      <w:r w:rsidRPr="005333C7">
        <w:rPr>
          <w:rFonts w:ascii="Arial Narrow" w:eastAsia="Times New Roman" w:hAnsi="Arial Narrow" w:cs="Times New Roman"/>
          <w:color w:val="000000"/>
          <w:sz w:val="16"/>
          <w:szCs w:val="16"/>
          <w:lang w:val="en"/>
        </w:rPr>
        <w:t xml:space="preserve">d. Imprecision due to limited number of participants and studies included. High risk of bias arisen from the randomization process. </w:t>
      </w:r>
    </w:p>
    <w:p w:rsidR="00EF5FD1" w:rsidRDefault="00EF5FD1" w:rsidP="00EF5FD1">
      <w:pPr>
        <w:tabs>
          <w:tab w:val="left" w:pos="2066"/>
        </w:tabs>
        <w:rPr>
          <w:rFonts w:eastAsia="Times New Roman" w:cs="Times New Roman"/>
          <w:lang w:val="en-ZA"/>
        </w:rPr>
      </w:pPr>
    </w:p>
    <w:p w:rsidR="00EF5FD1" w:rsidRPr="005333C7" w:rsidRDefault="00EF5FD1" w:rsidP="00EF5FD1">
      <w:pPr>
        <w:tabs>
          <w:tab w:val="left" w:pos="2066"/>
        </w:tabs>
        <w:rPr>
          <w:rFonts w:eastAsia="Times New Roman" w:cs="Times New Roman"/>
          <w:lang w:val="en-ZA"/>
        </w:rPr>
        <w:sectPr w:rsidR="00EF5FD1" w:rsidRPr="005333C7" w:rsidSect="00F3186D">
          <w:pgSz w:w="16838" w:h="11906" w:orient="landscape"/>
          <w:pgMar w:top="1440" w:right="1440" w:bottom="1440" w:left="1440" w:header="708" w:footer="708" w:gutter="0"/>
          <w:lnNumType w:countBy="1" w:restart="continuous"/>
          <w:cols w:space="708"/>
          <w:docGrid w:linePitch="360"/>
        </w:sectPr>
      </w:pPr>
      <w:r>
        <w:rPr>
          <w:rFonts w:eastAsia="Times New Roman" w:cs="Times New Roman"/>
          <w:lang w:val="en-ZA"/>
        </w:rPr>
        <w:tab/>
      </w:r>
    </w:p>
    <w:p w:rsidR="00EF5FD1" w:rsidRDefault="00EF5FD1" w:rsidP="00EF5FD1">
      <w:pPr>
        <w:pStyle w:val="Heading1"/>
        <w:rPr>
          <w:rFonts w:eastAsia="Times New Roman"/>
          <w:lang w:val="en-ZA"/>
        </w:rPr>
      </w:pPr>
      <w:r>
        <w:rPr>
          <w:rFonts w:eastAsia="Times New Roman"/>
          <w:lang w:val="en-ZA"/>
        </w:rPr>
        <w:lastRenderedPageBreak/>
        <w:t xml:space="preserve">Appendix C. Data Extraction form </w:t>
      </w:r>
    </w:p>
    <w:tbl>
      <w:tblPr>
        <w:tblW w:w="15021" w:type="dxa"/>
        <w:tblInd w:w="113" w:type="dxa"/>
        <w:tblLook w:val="04A0" w:firstRow="1" w:lastRow="0" w:firstColumn="1" w:lastColumn="0" w:noHBand="0" w:noVBand="1"/>
      </w:tblPr>
      <w:tblGrid>
        <w:gridCol w:w="1413"/>
        <w:gridCol w:w="992"/>
        <w:gridCol w:w="1701"/>
        <w:gridCol w:w="2126"/>
        <w:gridCol w:w="1843"/>
        <w:gridCol w:w="992"/>
        <w:gridCol w:w="1560"/>
        <w:gridCol w:w="1701"/>
        <w:gridCol w:w="1417"/>
        <w:gridCol w:w="1324"/>
      </w:tblGrid>
      <w:tr w:rsidR="00EF5FD1" w:rsidRPr="00C430A4" w:rsidTr="002C4EEF">
        <w:trPr>
          <w:trHeight w:val="288"/>
        </w:trPr>
        <w:tc>
          <w:tcPr>
            <w:tcW w:w="1413"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 xml:space="preserve">Author year </w:t>
            </w:r>
          </w:p>
        </w:tc>
        <w:tc>
          <w:tcPr>
            <w:tcW w:w="992" w:type="dxa"/>
            <w:tcBorders>
              <w:top w:val="single" w:sz="4" w:space="0" w:color="auto"/>
              <w:left w:val="nil"/>
              <w:bottom w:val="single" w:sz="4" w:space="0" w:color="auto"/>
              <w:right w:val="single" w:sz="4" w:space="0" w:color="auto"/>
            </w:tcBorders>
            <w:shd w:val="clear" w:color="000000" w:fill="B4C6E7"/>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Country</w:t>
            </w:r>
          </w:p>
        </w:tc>
        <w:tc>
          <w:tcPr>
            <w:tcW w:w="1701" w:type="dxa"/>
            <w:tcBorders>
              <w:top w:val="single" w:sz="4" w:space="0" w:color="auto"/>
              <w:left w:val="nil"/>
              <w:bottom w:val="single" w:sz="4" w:space="0" w:color="auto"/>
              <w:right w:val="single" w:sz="4" w:space="0" w:color="auto"/>
            </w:tcBorders>
            <w:shd w:val="clear" w:color="000000" w:fill="B4C6E7"/>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Randomised (N)</w:t>
            </w:r>
          </w:p>
        </w:tc>
        <w:tc>
          <w:tcPr>
            <w:tcW w:w="2126" w:type="dxa"/>
            <w:tcBorders>
              <w:top w:val="single" w:sz="4" w:space="0" w:color="auto"/>
              <w:left w:val="nil"/>
              <w:bottom w:val="single" w:sz="4" w:space="0" w:color="auto"/>
              <w:right w:val="single" w:sz="4" w:space="0" w:color="auto"/>
            </w:tcBorders>
            <w:shd w:val="clear" w:color="000000" w:fill="B4C6E7"/>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Study design (parallel group or cross over)</w:t>
            </w:r>
          </w:p>
        </w:tc>
        <w:tc>
          <w:tcPr>
            <w:tcW w:w="1843" w:type="dxa"/>
            <w:tcBorders>
              <w:top w:val="single" w:sz="4" w:space="0" w:color="auto"/>
              <w:left w:val="nil"/>
              <w:bottom w:val="single" w:sz="4" w:space="0" w:color="auto"/>
              <w:right w:val="single" w:sz="4" w:space="0" w:color="auto"/>
            </w:tcBorders>
            <w:shd w:val="clear" w:color="000000" w:fill="B4C6E7"/>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Settings (inpatients or outpatients)</w:t>
            </w:r>
          </w:p>
        </w:tc>
        <w:tc>
          <w:tcPr>
            <w:tcW w:w="992" w:type="dxa"/>
            <w:tcBorders>
              <w:top w:val="single" w:sz="4" w:space="0" w:color="auto"/>
              <w:left w:val="nil"/>
              <w:bottom w:val="single" w:sz="4" w:space="0" w:color="auto"/>
              <w:right w:val="single" w:sz="4" w:space="0" w:color="auto"/>
            </w:tcBorders>
            <w:shd w:val="clear" w:color="000000" w:fill="B4C6E7"/>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TB types</w:t>
            </w:r>
          </w:p>
        </w:tc>
        <w:tc>
          <w:tcPr>
            <w:tcW w:w="1560" w:type="dxa"/>
            <w:tcBorders>
              <w:top w:val="single" w:sz="4" w:space="0" w:color="auto"/>
              <w:left w:val="nil"/>
              <w:bottom w:val="single" w:sz="4" w:space="0" w:color="auto"/>
              <w:right w:val="single" w:sz="4" w:space="0" w:color="auto"/>
            </w:tcBorders>
            <w:shd w:val="clear" w:color="000000" w:fill="B4C6E7"/>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Immunoxel regimen (pills or liquid based)</w:t>
            </w:r>
          </w:p>
        </w:tc>
        <w:tc>
          <w:tcPr>
            <w:tcW w:w="1701" w:type="dxa"/>
            <w:tcBorders>
              <w:top w:val="single" w:sz="4" w:space="0" w:color="auto"/>
              <w:left w:val="nil"/>
              <w:bottom w:val="single" w:sz="4" w:space="0" w:color="auto"/>
              <w:right w:val="single" w:sz="4" w:space="0" w:color="auto"/>
            </w:tcBorders>
            <w:shd w:val="clear" w:color="000000" w:fill="B4C6E7"/>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Comparator (ATT alone or ATT+Placebo)</w:t>
            </w:r>
          </w:p>
        </w:tc>
        <w:tc>
          <w:tcPr>
            <w:tcW w:w="1417" w:type="dxa"/>
            <w:tcBorders>
              <w:top w:val="single" w:sz="4" w:space="0" w:color="auto"/>
              <w:left w:val="nil"/>
              <w:bottom w:val="single" w:sz="4" w:space="0" w:color="auto"/>
              <w:right w:val="single" w:sz="4" w:space="0" w:color="auto"/>
            </w:tcBorders>
            <w:shd w:val="clear" w:color="000000" w:fill="B4C6E7"/>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ATT Regimen (First or second line)</w:t>
            </w:r>
          </w:p>
        </w:tc>
        <w:tc>
          <w:tcPr>
            <w:tcW w:w="1276" w:type="dxa"/>
            <w:tcBorders>
              <w:top w:val="single" w:sz="4" w:space="0" w:color="auto"/>
              <w:left w:val="nil"/>
              <w:bottom w:val="single" w:sz="4" w:space="0" w:color="auto"/>
              <w:right w:val="single" w:sz="4" w:space="0" w:color="auto"/>
            </w:tcBorders>
            <w:shd w:val="clear" w:color="000000" w:fill="B4C6E7"/>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Comorbidity</w:t>
            </w:r>
          </w:p>
        </w:tc>
      </w:tr>
      <w:tr w:rsidR="00EF5FD1" w:rsidRPr="00C430A4" w:rsidTr="002C4EEF">
        <w:trPr>
          <w:trHeight w:val="288"/>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 </w:t>
            </w:r>
          </w:p>
        </w:tc>
        <w:tc>
          <w:tcPr>
            <w:tcW w:w="992" w:type="dxa"/>
            <w:tcBorders>
              <w:top w:val="nil"/>
              <w:left w:val="nil"/>
              <w:bottom w:val="single" w:sz="4" w:space="0" w:color="auto"/>
              <w:right w:val="single" w:sz="4" w:space="0" w:color="auto"/>
            </w:tcBorders>
            <w:shd w:val="clear" w:color="auto" w:fill="auto"/>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 </w:t>
            </w:r>
          </w:p>
        </w:tc>
        <w:tc>
          <w:tcPr>
            <w:tcW w:w="1701" w:type="dxa"/>
            <w:tcBorders>
              <w:top w:val="nil"/>
              <w:left w:val="nil"/>
              <w:bottom w:val="single" w:sz="4" w:space="0" w:color="auto"/>
              <w:right w:val="single" w:sz="4" w:space="0" w:color="auto"/>
            </w:tcBorders>
            <w:shd w:val="clear" w:color="auto" w:fill="auto"/>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 </w:t>
            </w:r>
          </w:p>
        </w:tc>
        <w:tc>
          <w:tcPr>
            <w:tcW w:w="2126" w:type="dxa"/>
            <w:tcBorders>
              <w:top w:val="nil"/>
              <w:left w:val="nil"/>
              <w:bottom w:val="single" w:sz="4" w:space="0" w:color="auto"/>
              <w:right w:val="single" w:sz="4" w:space="0" w:color="auto"/>
            </w:tcBorders>
            <w:shd w:val="clear" w:color="auto" w:fill="auto"/>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 </w:t>
            </w:r>
          </w:p>
        </w:tc>
        <w:tc>
          <w:tcPr>
            <w:tcW w:w="1843" w:type="dxa"/>
            <w:tcBorders>
              <w:top w:val="nil"/>
              <w:left w:val="nil"/>
              <w:bottom w:val="single" w:sz="4" w:space="0" w:color="auto"/>
              <w:right w:val="single" w:sz="4" w:space="0" w:color="auto"/>
            </w:tcBorders>
            <w:shd w:val="clear" w:color="auto" w:fill="auto"/>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 </w:t>
            </w:r>
          </w:p>
        </w:tc>
        <w:tc>
          <w:tcPr>
            <w:tcW w:w="992" w:type="dxa"/>
            <w:tcBorders>
              <w:top w:val="nil"/>
              <w:left w:val="nil"/>
              <w:bottom w:val="single" w:sz="4" w:space="0" w:color="auto"/>
              <w:right w:val="single" w:sz="4" w:space="0" w:color="auto"/>
            </w:tcBorders>
            <w:shd w:val="clear" w:color="auto" w:fill="auto"/>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 </w:t>
            </w:r>
          </w:p>
        </w:tc>
        <w:tc>
          <w:tcPr>
            <w:tcW w:w="1560" w:type="dxa"/>
            <w:tcBorders>
              <w:top w:val="nil"/>
              <w:left w:val="nil"/>
              <w:bottom w:val="single" w:sz="4" w:space="0" w:color="auto"/>
              <w:right w:val="single" w:sz="4" w:space="0" w:color="auto"/>
            </w:tcBorders>
            <w:shd w:val="clear" w:color="auto" w:fill="auto"/>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 </w:t>
            </w:r>
          </w:p>
        </w:tc>
        <w:tc>
          <w:tcPr>
            <w:tcW w:w="1701" w:type="dxa"/>
            <w:tcBorders>
              <w:top w:val="nil"/>
              <w:left w:val="nil"/>
              <w:bottom w:val="single" w:sz="4" w:space="0" w:color="auto"/>
              <w:right w:val="single" w:sz="4" w:space="0" w:color="auto"/>
            </w:tcBorders>
            <w:shd w:val="clear" w:color="auto" w:fill="auto"/>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 </w:t>
            </w:r>
          </w:p>
        </w:tc>
        <w:tc>
          <w:tcPr>
            <w:tcW w:w="1417" w:type="dxa"/>
            <w:tcBorders>
              <w:top w:val="nil"/>
              <w:left w:val="nil"/>
              <w:bottom w:val="single" w:sz="4" w:space="0" w:color="auto"/>
              <w:right w:val="single" w:sz="4" w:space="0" w:color="auto"/>
            </w:tcBorders>
            <w:shd w:val="clear" w:color="auto" w:fill="auto"/>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 </w:t>
            </w:r>
          </w:p>
        </w:tc>
        <w:tc>
          <w:tcPr>
            <w:tcW w:w="1276" w:type="dxa"/>
            <w:tcBorders>
              <w:top w:val="nil"/>
              <w:left w:val="nil"/>
              <w:bottom w:val="single" w:sz="4" w:space="0" w:color="auto"/>
              <w:right w:val="single" w:sz="4" w:space="0" w:color="auto"/>
            </w:tcBorders>
            <w:shd w:val="clear" w:color="auto" w:fill="auto"/>
            <w:noWrap/>
            <w:vAlign w:val="bottom"/>
            <w:hideMark/>
          </w:tcPr>
          <w:p w:rsidR="00EF5FD1" w:rsidRPr="00C430A4" w:rsidRDefault="00EF5FD1" w:rsidP="002C4EEF">
            <w:pPr>
              <w:spacing w:after="0" w:line="240" w:lineRule="auto"/>
              <w:rPr>
                <w:rFonts w:ascii="Calibri" w:eastAsia="Times New Roman" w:hAnsi="Calibri" w:cs="Calibri"/>
                <w:color w:val="000000"/>
                <w:lang w:val="en-ZA" w:eastAsia="en-ZA"/>
              </w:rPr>
            </w:pPr>
            <w:r w:rsidRPr="00C430A4">
              <w:rPr>
                <w:rFonts w:ascii="Calibri" w:eastAsia="Times New Roman" w:hAnsi="Calibri" w:cs="Calibri"/>
                <w:color w:val="000000"/>
                <w:sz w:val="22"/>
                <w:lang w:val="en-ZA" w:eastAsia="en-ZA"/>
              </w:rPr>
              <w:t> </w:t>
            </w:r>
          </w:p>
        </w:tc>
      </w:tr>
    </w:tbl>
    <w:p w:rsidR="00EF5FD1" w:rsidRDefault="00EF5FD1" w:rsidP="00EF5FD1">
      <w:pPr>
        <w:rPr>
          <w:rFonts w:eastAsia="Times New Roman" w:cs="Times New Roman"/>
          <w:b/>
          <w:bCs/>
          <w:lang w:val="en-ZA"/>
        </w:rPr>
      </w:pPr>
    </w:p>
    <w:tbl>
      <w:tblPr>
        <w:tblW w:w="8620" w:type="dxa"/>
        <w:tblInd w:w="113" w:type="dxa"/>
        <w:tblLook w:val="04A0" w:firstRow="1" w:lastRow="0" w:firstColumn="1" w:lastColumn="0" w:noHBand="0" w:noVBand="1"/>
      </w:tblPr>
      <w:tblGrid>
        <w:gridCol w:w="6100"/>
        <w:gridCol w:w="1358"/>
        <w:gridCol w:w="1316"/>
      </w:tblGrid>
      <w:tr w:rsidR="00EF5FD1" w:rsidRPr="008F085D" w:rsidTr="002C4EEF">
        <w:trPr>
          <w:trHeight w:val="288"/>
        </w:trPr>
        <w:tc>
          <w:tcPr>
            <w:tcW w:w="6100" w:type="dxa"/>
            <w:vMerge w:val="restart"/>
            <w:tcBorders>
              <w:top w:val="single" w:sz="4" w:space="0" w:color="auto"/>
              <w:left w:val="single" w:sz="4" w:space="0" w:color="auto"/>
              <w:bottom w:val="single" w:sz="4" w:space="0" w:color="000000"/>
              <w:right w:val="single" w:sz="4" w:space="0" w:color="000000"/>
            </w:tcBorders>
            <w:shd w:val="clear" w:color="000000" w:fill="B4C6E7"/>
            <w:vAlign w:val="bottom"/>
            <w:hideMark/>
          </w:tcPr>
          <w:p w:rsidR="00EF5FD1" w:rsidRPr="008F085D" w:rsidRDefault="00EF5FD1" w:rsidP="002C4EEF">
            <w:pPr>
              <w:spacing w:after="0" w:line="240" w:lineRule="auto"/>
              <w:jc w:val="center"/>
              <w:rPr>
                <w:rFonts w:ascii="Calibri" w:eastAsia="Times New Roman" w:hAnsi="Calibri" w:cs="Calibri"/>
                <w:b/>
                <w:bCs/>
                <w:color w:val="000000"/>
                <w:lang w:val="en-ZA" w:eastAsia="en-ZA"/>
              </w:rPr>
            </w:pPr>
            <w:r w:rsidRPr="008F085D">
              <w:rPr>
                <w:rFonts w:ascii="Calibri" w:eastAsia="Times New Roman" w:hAnsi="Calibri" w:cs="Calibri"/>
                <w:b/>
                <w:bCs/>
                <w:color w:val="000000"/>
                <w:sz w:val="22"/>
                <w:lang w:val="en-ZA" w:eastAsia="en-ZA"/>
              </w:rPr>
              <w:t>Values</w:t>
            </w:r>
          </w:p>
        </w:tc>
        <w:tc>
          <w:tcPr>
            <w:tcW w:w="2520" w:type="dxa"/>
            <w:gridSpan w:val="2"/>
            <w:tcBorders>
              <w:top w:val="single" w:sz="4" w:space="0" w:color="auto"/>
              <w:left w:val="nil"/>
              <w:bottom w:val="single" w:sz="4" w:space="0" w:color="auto"/>
              <w:right w:val="single" w:sz="4" w:space="0" w:color="000000"/>
            </w:tcBorders>
            <w:shd w:val="clear" w:color="000000" w:fill="B4C6E7"/>
            <w:noWrap/>
            <w:vAlign w:val="bottom"/>
            <w:hideMark/>
          </w:tcPr>
          <w:p w:rsidR="00EF5FD1" w:rsidRPr="008F085D" w:rsidRDefault="00EF5FD1" w:rsidP="002C4EEF">
            <w:pPr>
              <w:spacing w:after="0" w:line="240" w:lineRule="auto"/>
              <w:jc w:val="center"/>
              <w:rPr>
                <w:rFonts w:ascii="Calibri" w:eastAsia="Times New Roman" w:hAnsi="Calibri" w:cs="Calibri"/>
                <w:b/>
                <w:bCs/>
                <w:color w:val="000000"/>
                <w:lang w:val="en-ZA" w:eastAsia="en-ZA"/>
              </w:rPr>
            </w:pPr>
            <w:r w:rsidRPr="008F085D">
              <w:rPr>
                <w:rFonts w:ascii="Calibri" w:eastAsia="Times New Roman" w:hAnsi="Calibri" w:cs="Calibri"/>
                <w:b/>
                <w:bCs/>
                <w:color w:val="000000"/>
                <w:sz w:val="22"/>
                <w:lang w:val="en-ZA" w:eastAsia="en-ZA"/>
              </w:rPr>
              <w:t>Author</w:t>
            </w:r>
          </w:p>
        </w:tc>
      </w:tr>
      <w:tr w:rsidR="00EF5FD1" w:rsidRPr="008F085D" w:rsidTr="002C4EEF">
        <w:trPr>
          <w:trHeight w:val="288"/>
        </w:trPr>
        <w:tc>
          <w:tcPr>
            <w:tcW w:w="6100" w:type="dxa"/>
            <w:vMerge/>
            <w:tcBorders>
              <w:top w:val="single" w:sz="4" w:space="0" w:color="auto"/>
              <w:left w:val="single" w:sz="4" w:space="0" w:color="auto"/>
              <w:bottom w:val="single" w:sz="4" w:space="0" w:color="000000"/>
              <w:right w:val="single" w:sz="4" w:space="0" w:color="000000"/>
            </w:tcBorders>
            <w:vAlign w:val="center"/>
            <w:hideMark/>
          </w:tcPr>
          <w:p w:rsidR="00EF5FD1" w:rsidRPr="008F085D" w:rsidRDefault="00EF5FD1" w:rsidP="002C4EEF">
            <w:pPr>
              <w:spacing w:after="0" w:line="240" w:lineRule="auto"/>
              <w:rPr>
                <w:rFonts w:ascii="Calibri" w:eastAsia="Times New Roman" w:hAnsi="Calibri" w:cs="Calibri"/>
                <w:b/>
                <w:bCs/>
                <w:color w:val="000000"/>
                <w:lang w:val="en-ZA" w:eastAsia="en-ZA"/>
              </w:rPr>
            </w:pPr>
          </w:p>
        </w:tc>
        <w:tc>
          <w:tcPr>
            <w:tcW w:w="1300" w:type="dxa"/>
            <w:tcBorders>
              <w:top w:val="nil"/>
              <w:left w:val="nil"/>
              <w:bottom w:val="single" w:sz="4" w:space="0" w:color="auto"/>
              <w:right w:val="single" w:sz="4" w:space="0" w:color="auto"/>
            </w:tcBorders>
            <w:shd w:val="clear" w:color="000000" w:fill="B4C6E7"/>
            <w:vAlign w:val="bottom"/>
            <w:hideMark/>
          </w:tcPr>
          <w:p w:rsidR="00EF5FD1" w:rsidRPr="008F085D" w:rsidRDefault="00EF5FD1" w:rsidP="002C4EEF">
            <w:pPr>
              <w:spacing w:after="0" w:line="240" w:lineRule="auto"/>
              <w:rPr>
                <w:rFonts w:ascii="Calibri" w:eastAsia="Times New Roman" w:hAnsi="Calibri" w:cs="Calibri"/>
                <w:b/>
                <w:bCs/>
                <w:color w:val="000000"/>
                <w:lang w:val="en-ZA" w:eastAsia="en-ZA"/>
              </w:rPr>
            </w:pPr>
            <w:r w:rsidRPr="008F085D">
              <w:rPr>
                <w:rFonts w:ascii="Calibri" w:eastAsia="Times New Roman" w:hAnsi="Calibri" w:cs="Calibri"/>
                <w:b/>
                <w:bCs/>
                <w:color w:val="000000"/>
                <w:sz w:val="22"/>
                <w:lang w:val="en-ZA" w:eastAsia="en-ZA"/>
              </w:rPr>
              <w:t>Intervention</w:t>
            </w:r>
          </w:p>
        </w:tc>
        <w:tc>
          <w:tcPr>
            <w:tcW w:w="1220" w:type="dxa"/>
            <w:tcBorders>
              <w:top w:val="nil"/>
              <w:left w:val="nil"/>
              <w:bottom w:val="single" w:sz="4" w:space="0" w:color="auto"/>
              <w:right w:val="single" w:sz="4" w:space="0" w:color="auto"/>
            </w:tcBorders>
            <w:shd w:val="clear" w:color="000000" w:fill="B4C6E7"/>
            <w:vAlign w:val="bottom"/>
            <w:hideMark/>
          </w:tcPr>
          <w:p w:rsidR="00EF5FD1" w:rsidRPr="008F085D" w:rsidRDefault="00EF5FD1" w:rsidP="002C4EEF">
            <w:pPr>
              <w:spacing w:after="0" w:line="240" w:lineRule="auto"/>
              <w:rPr>
                <w:rFonts w:ascii="Calibri" w:eastAsia="Times New Roman" w:hAnsi="Calibri" w:cs="Calibri"/>
                <w:b/>
                <w:bCs/>
                <w:color w:val="000000"/>
                <w:lang w:val="en-ZA" w:eastAsia="en-ZA"/>
              </w:rPr>
            </w:pPr>
            <w:r w:rsidRPr="008F085D">
              <w:rPr>
                <w:rFonts w:ascii="Calibri" w:eastAsia="Times New Roman" w:hAnsi="Calibri" w:cs="Calibri"/>
                <w:b/>
                <w:bCs/>
                <w:color w:val="000000"/>
                <w:sz w:val="22"/>
                <w:lang w:val="en-ZA" w:eastAsia="en-ZA"/>
              </w:rPr>
              <w:t>Comparator</w:t>
            </w:r>
          </w:p>
        </w:tc>
      </w:tr>
      <w:tr w:rsidR="00EF5FD1" w:rsidRPr="008F085D" w:rsidTr="002C4EEF">
        <w:trPr>
          <w:trHeight w:val="288"/>
        </w:trPr>
        <w:tc>
          <w:tcPr>
            <w:tcW w:w="6100" w:type="dxa"/>
            <w:tcBorders>
              <w:top w:val="single" w:sz="4" w:space="0" w:color="auto"/>
              <w:left w:val="single" w:sz="4" w:space="0" w:color="auto"/>
              <w:bottom w:val="single" w:sz="4" w:space="0" w:color="auto"/>
              <w:right w:val="single" w:sz="4" w:space="0" w:color="000000"/>
            </w:tcBorders>
            <w:shd w:val="clear" w:color="000000" w:fill="92D050"/>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Number of patients smear converted (n/N)</w:t>
            </w:r>
          </w:p>
        </w:tc>
        <w:tc>
          <w:tcPr>
            <w:tcW w:w="1300" w:type="dxa"/>
            <w:tcBorders>
              <w:top w:val="nil"/>
              <w:left w:val="nil"/>
              <w:bottom w:val="single" w:sz="4" w:space="0" w:color="auto"/>
              <w:right w:val="single" w:sz="4" w:space="0" w:color="auto"/>
            </w:tcBorders>
            <w:shd w:val="clear" w:color="000000" w:fill="FFFFFF"/>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c>
          <w:tcPr>
            <w:tcW w:w="122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r>
      <w:tr w:rsidR="00EF5FD1" w:rsidRPr="008F085D" w:rsidTr="002C4EEF">
        <w:trPr>
          <w:trHeight w:val="288"/>
        </w:trPr>
        <w:tc>
          <w:tcPr>
            <w:tcW w:w="6100" w:type="dxa"/>
            <w:tcBorders>
              <w:top w:val="single" w:sz="4" w:space="0" w:color="auto"/>
              <w:left w:val="single" w:sz="4" w:space="0" w:color="auto"/>
              <w:bottom w:val="single" w:sz="4" w:space="0" w:color="auto"/>
              <w:right w:val="single" w:sz="4" w:space="0" w:color="000000"/>
            </w:tcBorders>
            <w:shd w:val="clear" w:color="000000" w:fill="92D050"/>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Time to smear conversion (weeks)</w:t>
            </w:r>
          </w:p>
        </w:tc>
        <w:tc>
          <w:tcPr>
            <w:tcW w:w="1300" w:type="dxa"/>
            <w:tcBorders>
              <w:top w:val="nil"/>
              <w:left w:val="nil"/>
              <w:bottom w:val="single" w:sz="4" w:space="0" w:color="auto"/>
              <w:right w:val="single" w:sz="4" w:space="0" w:color="auto"/>
            </w:tcBorders>
            <w:shd w:val="clear" w:color="000000" w:fill="FFFFFF"/>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c>
          <w:tcPr>
            <w:tcW w:w="122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r>
      <w:tr w:rsidR="00EF5FD1" w:rsidRPr="008F085D" w:rsidTr="002C4EEF">
        <w:trPr>
          <w:trHeight w:val="288"/>
        </w:trPr>
        <w:tc>
          <w:tcPr>
            <w:tcW w:w="6100" w:type="dxa"/>
            <w:tcBorders>
              <w:top w:val="single" w:sz="4" w:space="0" w:color="auto"/>
              <w:left w:val="single" w:sz="4" w:space="0" w:color="auto"/>
              <w:bottom w:val="single" w:sz="4" w:space="0" w:color="auto"/>
              <w:right w:val="single" w:sz="4" w:space="0" w:color="000000"/>
            </w:tcBorders>
            <w:shd w:val="clear" w:color="000000" w:fill="92D050"/>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BMI change (kg/m2)</w:t>
            </w:r>
          </w:p>
        </w:tc>
        <w:tc>
          <w:tcPr>
            <w:tcW w:w="130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c>
          <w:tcPr>
            <w:tcW w:w="122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r>
      <w:tr w:rsidR="00EF5FD1" w:rsidRPr="008F085D" w:rsidTr="002C4EEF">
        <w:trPr>
          <w:trHeight w:val="288"/>
        </w:trPr>
        <w:tc>
          <w:tcPr>
            <w:tcW w:w="6100" w:type="dxa"/>
            <w:tcBorders>
              <w:top w:val="single" w:sz="4" w:space="0" w:color="auto"/>
              <w:left w:val="nil"/>
              <w:bottom w:val="single" w:sz="4" w:space="0" w:color="auto"/>
              <w:right w:val="single" w:sz="4" w:space="0" w:color="000000"/>
            </w:tcBorders>
            <w:shd w:val="clear" w:color="000000" w:fill="92D050"/>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xml:space="preserve">% of patients with healed Cavitary lesions </w:t>
            </w:r>
          </w:p>
        </w:tc>
        <w:tc>
          <w:tcPr>
            <w:tcW w:w="1300" w:type="dxa"/>
            <w:tcBorders>
              <w:top w:val="nil"/>
              <w:left w:val="nil"/>
              <w:bottom w:val="single" w:sz="4" w:space="0" w:color="auto"/>
              <w:right w:val="single" w:sz="4" w:space="0" w:color="auto"/>
            </w:tcBorders>
            <w:shd w:val="clear" w:color="000000" w:fill="FFFFFF"/>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c>
          <w:tcPr>
            <w:tcW w:w="122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r>
      <w:tr w:rsidR="00EF5FD1" w:rsidRPr="008F085D" w:rsidTr="002C4EEF">
        <w:trPr>
          <w:trHeight w:val="288"/>
        </w:trPr>
        <w:tc>
          <w:tcPr>
            <w:tcW w:w="6100" w:type="dxa"/>
            <w:tcBorders>
              <w:top w:val="single" w:sz="4" w:space="0" w:color="auto"/>
              <w:left w:val="single" w:sz="4" w:space="0" w:color="auto"/>
              <w:bottom w:val="single" w:sz="4" w:space="0" w:color="auto"/>
              <w:right w:val="single" w:sz="4" w:space="0" w:color="000000"/>
            </w:tcBorders>
            <w:shd w:val="clear" w:color="000000" w:fill="92D050"/>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Adverse events</w:t>
            </w:r>
          </w:p>
        </w:tc>
        <w:tc>
          <w:tcPr>
            <w:tcW w:w="130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c>
          <w:tcPr>
            <w:tcW w:w="122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r>
      <w:tr w:rsidR="00EF5FD1" w:rsidRPr="008F085D" w:rsidTr="002C4EEF">
        <w:trPr>
          <w:trHeight w:val="288"/>
        </w:trPr>
        <w:tc>
          <w:tcPr>
            <w:tcW w:w="6100" w:type="dxa"/>
            <w:tcBorders>
              <w:top w:val="single" w:sz="4" w:space="0" w:color="auto"/>
              <w:left w:val="single" w:sz="4" w:space="0" w:color="auto"/>
              <w:bottom w:val="single" w:sz="4" w:space="0" w:color="auto"/>
              <w:right w:val="single" w:sz="4" w:space="0" w:color="000000"/>
            </w:tcBorders>
            <w:shd w:val="clear" w:color="000000" w:fill="92D050"/>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Level of alanine transaminase (ALT) (U/L) (Mean ALT change)</w:t>
            </w:r>
          </w:p>
        </w:tc>
        <w:tc>
          <w:tcPr>
            <w:tcW w:w="130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c>
          <w:tcPr>
            <w:tcW w:w="122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r>
      <w:tr w:rsidR="00EF5FD1" w:rsidRPr="008F085D" w:rsidTr="002C4EEF">
        <w:trPr>
          <w:trHeight w:val="288"/>
        </w:trPr>
        <w:tc>
          <w:tcPr>
            <w:tcW w:w="6100" w:type="dxa"/>
            <w:tcBorders>
              <w:top w:val="single" w:sz="4" w:space="0" w:color="auto"/>
              <w:left w:val="nil"/>
              <w:bottom w:val="single" w:sz="4" w:space="0" w:color="auto"/>
              <w:right w:val="single" w:sz="4" w:space="0" w:color="000000"/>
            </w:tcBorders>
            <w:shd w:val="clear" w:color="000000" w:fill="92D050"/>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Level of aspartate transaminase (AST) (Mean AST change)</w:t>
            </w:r>
          </w:p>
        </w:tc>
        <w:tc>
          <w:tcPr>
            <w:tcW w:w="130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c>
          <w:tcPr>
            <w:tcW w:w="122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r>
      <w:tr w:rsidR="00EF5FD1" w:rsidRPr="00C00AD1" w:rsidTr="002C4EEF">
        <w:trPr>
          <w:trHeight w:val="288"/>
        </w:trPr>
        <w:tc>
          <w:tcPr>
            <w:tcW w:w="6100" w:type="dxa"/>
            <w:tcBorders>
              <w:top w:val="single" w:sz="4" w:space="0" w:color="auto"/>
              <w:left w:val="single" w:sz="4" w:space="0" w:color="auto"/>
              <w:bottom w:val="single" w:sz="4" w:space="0" w:color="auto"/>
              <w:right w:val="single" w:sz="4" w:space="0" w:color="000000"/>
            </w:tcBorders>
            <w:shd w:val="clear" w:color="000000" w:fill="92D050"/>
            <w:vAlign w:val="bottom"/>
            <w:hideMark/>
          </w:tcPr>
          <w:p w:rsidR="00EF5FD1" w:rsidRPr="008F085D" w:rsidRDefault="00EF5FD1" w:rsidP="002C4EEF">
            <w:pPr>
              <w:spacing w:after="0" w:line="240" w:lineRule="auto"/>
              <w:jc w:val="center"/>
              <w:rPr>
                <w:rFonts w:ascii="Calibri" w:eastAsia="Times New Roman" w:hAnsi="Calibri" w:cs="Calibri"/>
                <w:color w:val="000000"/>
                <w:lang w:val="de-DE" w:eastAsia="en-ZA"/>
              </w:rPr>
            </w:pPr>
            <w:r w:rsidRPr="008F085D">
              <w:rPr>
                <w:rFonts w:ascii="Calibri" w:eastAsia="Times New Roman" w:hAnsi="Calibri" w:cs="Calibri"/>
                <w:color w:val="000000"/>
                <w:sz w:val="22"/>
                <w:lang w:val="de-DE" w:eastAsia="en-ZA"/>
              </w:rPr>
              <w:t>Bilirubin (µM/L) ( Mean Bilirubin change )</w:t>
            </w:r>
          </w:p>
        </w:tc>
        <w:tc>
          <w:tcPr>
            <w:tcW w:w="130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de-DE" w:eastAsia="en-ZA"/>
              </w:rPr>
            </w:pPr>
            <w:r w:rsidRPr="008F085D">
              <w:rPr>
                <w:rFonts w:ascii="Calibri" w:eastAsia="Times New Roman" w:hAnsi="Calibri" w:cs="Calibri"/>
                <w:color w:val="000000"/>
                <w:sz w:val="22"/>
                <w:lang w:val="de-DE" w:eastAsia="en-ZA"/>
              </w:rPr>
              <w:t> </w:t>
            </w:r>
          </w:p>
        </w:tc>
        <w:tc>
          <w:tcPr>
            <w:tcW w:w="122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de-DE" w:eastAsia="en-ZA"/>
              </w:rPr>
            </w:pPr>
            <w:r w:rsidRPr="008F085D">
              <w:rPr>
                <w:rFonts w:ascii="Calibri" w:eastAsia="Times New Roman" w:hAnsi="Calibri" w:cs="Calibri"/>
                <w:color w:val="000000"/>
                <w:sz w:val="22"/>
                <w:lang w:val="de-DE" w:eastAsia="en-ZA"/>
              </w:rPr>
              <w:t> </w:t>
            </w:r>
          </w:p>
        </w:tc>
      </w:tr>
      <w:tr w:rsidR="00EF5FD1" w:rsidRPr="008F085D" w:rsidTr="002C4EEF">
        <w:trPr>
          <w:trHeight w:val="288"/>
        </w:trPr>
        <w:tc>
          <w:tcPr>
            <w:tcW w:w="6100" w:type="dxa"/>
            <w:tcBorders>
              <w:top w:val="single" w:sz="4" w:space="0" w:color="auto"/>
              <w:left w:val="single" w:sz="4" w:space="0" w:color="auto"/>
              <w:bottom w:val="single" w:sz="4" w:space="0" w:color="auto"/>
              <w:right w:val="single" w:sz="4" w:space="0" w:color="000000"/>
            </w:tcBorders>
            <w:shd w:val="clear" w:color="000000" w:fill="92D050"/>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xml:space="preserve">Body temperature (mean±SD) degree </w:t>
            </w:r>
            <w:r>
              <w:rPr>
                <w:rFonts w:ascii="Calibri" w:eastAsia="Times New Roman" w:hAnsi="Calibri" w:cs="Calibri"/>
                <w:color w:val="000000"/>
                <w:sz w:val="22"/>
                <w:lang w:val="en-ZA" w:eastAsia="en-ZA"/>
              </w:rPr>
              <w:t>C</w:t>
            </w:r>
            <w:r w:rsidRPr="008F085D">
              <w:rPr>
                <w:rFonts w:ascii="Calibri" w:eastAsia="Times New Roman" w:hAnsi="Calibri" w:cs="Calibri"/>
                <w:color w:val="000000"/>
                <w:sz w:val="22"/>
                <w:lang w:val="en-ZA" w:eastAsia="en-ZA"/>
              </w:rPr>
              <w:t>elsius</w:t>
            </w:r>
          </w:p>
        </w:tc>
        <w:tc>
          <w:tcPr>
            <w:tcW w:w="130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c>
          <w:tcPr>
            <w:tcW w:w="122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r>
      <w:tr w:rsidR="00EF5FD1" w:rsidRPr="008F085D" w:rsidTr="002C4EEF">
        <w:trPr>
          <w:trHeight w:val="288"/>
        </w:trPr>
        <w:tc>
          <w:tcPr>
            <w:tcW w:w="6100" w:type="dxa"/>
            <w:tcBorders>
              <w:top w:val="single" w:sz="4" w:space="0" w:color="auto"/>
              <w:left w:val="single" w:sz="4" w:space="0" w:color="auto"/>
              <w:bottom w:val="single" w:sz="4" w:space="0" w:color="auto"/>
              <w:right w:val="single" w:sz="4" w:space="0" w:color="000000"/>
            </w:tcBorders>
            <w:shd w:val="clear" w:color="000000" w:fill="92D050"/>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Lymphocytes (mean)</w:t>
            </w:r>
          </w:p>
        </w:tc>
        <w:tc>
          <w:tcPr>
            <w:tcW w:w="130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c>
          <w:tcPr>
            <w:tcW w:w="122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r>
      <w:tr w:rsidR="00EF5FD1" w:rsidRPr="008F085D" w:rsidTr="002C4EEF">
        <w:trPr>
          <w:trHeight w:val="288"/>
        </w:trPr>
        <w:tc>
          <w:tcPr>
            <w:tcW w:w="6100" w:type="dxa"/>
            <w:tcBorders>
              <w:top w:val="single" w:sz="4" w:space="0" w:color="auto"/>
              <w:left w:val="single" w:sz="4" w:space="0" w:color="auto"/>
              <w:bottom w:val="single" w:sz="4" w:space="0" w:color="auto"/>
              <w:right w:val="single" w:sz="4" w:space="0" w:color="000000"/>
            </w:tcBorders>
            <w:shd w:val="clear" w:color="000000" w:fill="92D050"/>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leucocytes (mean)</w:t>
            </w:r>
          </w:p>
        </w:tc>
        <w:tc>
          <w:tcPr>
            <w:tcW w:w="130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c>
          <w:tcPr>
            <w:tcW w:w="122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r>
      <w:tr w:rsidR="00EF5FD1" w:rsidRPr="008F085D" w:rsidTr="002C4EEF">
        <w:trPr>
          <w:trHeight w:val="288"/>
        </w:trPr>
        <w:tc>
          <w:tcPr>
            <w:tcW w:w="6100" w:type="dxa"/>
            <w:tcBorders>
              <w:top w:val="single" w:sz="4" w:space="0" w:color="auto"/>
              <w:left w:val="single" w:sz="4" w:space="0" w:color="auto"/>
              <w:bottom w:val="single" w:sz="4" w:space="0" w:color="auto"/>
              <w:right w:val="single" w:sz="4" w:space="0" w:color="000000"/>
            </w:tcBorders>
            <w:shd w:val="clear" w:color="000000" w:fill="92D050"/>
            <w:noWrap/>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Erythrocytes SR</w:t>
            </w:r>
          </w:p>
        </w:tc>
        <w:tc>
          <w:tcPr>
            <w:tcW w:w="130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c>
          <w:tcPr>
            <w:tcW w:w="122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r>
      <w:tr w:rsidR="00EF5FD1" w:rsidRPr="008F085D" w:rsidTr="002C4EEF">
        <w:trPr>
          <w:trHeight w:val="288"/>
        </w:trPr>
        <w:tc>
          <w:tcPr>
            <w:tcW w:w="6100" w:type="dxa"/>
            <w:tcBorders>
              <w:top w:val="single" w:sz="4" w:space="0" w:color="auto"/>
              <w:left w:val="single" w:sz="4" w:space="0" w:color="auto"/>
              <w:bottom w:val="single" w:sz="4" w:space="0" w:color="auto"/>
              <w:right w:val="single" w:sz="4" w:space="0" w:color="000000"/>
            </w:tcBorders>
            <w:shd w:val="clear" w:color="000000" w:fill="92D050"/>
            <w:noWrap/>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Haemoglobin</w:t>
            </w:r>
          </w:p>
        </w:tc>
        <w:tc>
          <w:tcPr>
            <w:tcW w:w="130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c>
          <w:tcPr>
            <w:tcW w:w="122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r>
      <w:tr w:rsidR="00EF5FD1" w:rsidRPr="008F085D" w:rsidTr="002C4EEF">
        <w:trPr>
          <w:trHeight w:val="288"/>
        </w:trPr>
        <w:tc>
          <w:tcPr>
            <w:tcW w:w="6100"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CD4 cell count</w:t>
            </w:r>
          </w:p>
        </w:tc>
        <w:tc>
          <w:tcPr>
            <w:tcW w:w="130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c>
          <w:tcPr>
            <w:tcW w:w="122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r>
      <w:tr w:rsidR="00EF5FD1" w:rsidRPr="008F085D" w:rsidTr="002C4EEF">
        <w:trPr>
          <w:trHeight w:val="288"/>
        </w:trPr>
        <w:tc>
          <w:tcPr>
            <w:tcW w:w="6100"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CD8</w:t>
            </w:r>
          </w:p>
        </w:tc>
        <w:tc>
          <w:tcPr>
            <w:tcW w:w="130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c>
          <w:tcPr>
            <w:tcW w:w="1220" w:type="dxa"/>
            <w:tcBorders>
              <w:top w:val="nil"/>
              <w:left w:val="nil"/>
              <w:bottom w:val="single" w:sz="4" w:space="0" w:color="auto"/>
              <w:right w:val="single" w:sz="4" w:space="0" w:color="auto"/>
            </w:tcBorders>
            <w:shd w:val="clear" w:color="000000" w:fill="FFFFFF"/>
            <w:noWrap/>
            <w:vAlign w:val="bottom"/>
            <w:hideMark/>
          </w:tcPr>
          <w:p w:rsidR="00EF5FD1" w:rsidRPr="008F085D" w:rsidRDefault="00EF5FD1" w:rsidP="002C4EEF">
            <w:pPr>
              <w:spacing w:after="0" w:line="240" w:lineRule="auto"/>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r>
      <w:tr w:rsidR="00EF5FD1" w:rsidRPr="008F085D" w:rsidTr="002C4EEF">
        <w:trPr>
          <w:trHeight w:val="288"/>
        </w:trPr>
        <w:tc>
          <w:tcPr>
            <w:tcW w:w="6100" w:type="dxa"/>
            <w:tcBorders>
              <w:top w:val="single" w:sz="4" w:space="0" w:color="auto"/>
              <w:left w:val="single" w:sz="4" w:space="0" w:color="auto"/>
              <w:bottom w:val="single" w:sz="4" w:space="0" w:color="auto"/>
              <w:right w:val="single" w:sz="4" w:space="0" w:color="auto"/>
            </w:tcBorders>
            <w:shd w:val="clear" w:color="000000" w:fill="92D050"/>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xml:space="preserve">Comment </w:t>
            </w:r>
          </w:p>
        </w:tc>
        <w:tc>
          <w:tcPr>
            <w:tcW w:w="2520" w:type="dxa"/>
            <w:gridSpan w:val="2"/>
            <w:tcBorders>
              <w:top w:val="single" w:sz="4" w:space="0" w:color="auto"/>
              <w:left w:val="nil"/>
              <w:bottom w:val="single" w:sz="4" w:space="0" w:color="auto"/>
              <w:right w:val="single" w:sz="4" w:space="0" w:color="000000"/>
            </w:tcBorders>
            <w:shd w:val="clear" w:color="000000" w:fill="FFFFFF"/>
            <w:vAlign w:val="bottom"/>
            <w:hideMark/>
          </w:tcPr>
          <w:p w:rsidR="00EF5FD1" w:rsidRPr="008F085D" w:rsidRDefault="00EF5FD1" w:rsidP="002C4EEF">
            <w:pPr>
              <w:spacing w:after="0" w:line="240" w:lineRule="auto"/>
              <w:jc w:val="center"/>
              <w:rPr>
                <w:rFonts w:ascii="Calibri" w:eastAsia="Times New Roman" w:hAnsi="Calibri" w:cs="Calibri"/>
                <w:color w:val="000000"/>
                <w:lang w:val="en-ZA" w:eastAsia="en-ZA"/>
              </w:rPr>
            </w:pPr>
            <w:r w:rsidRPr="008F085D">
              <w:rPr>
                <w:rFonts w:ascii="Calibri" w:eastAsia="Times New Roman" w:hAnsi="Calibri" w:cs="Calibri"/>
                <w:color w:val="000000"/>
                <w:sz w:val="22"/>
                <w:lang w:val="en-ZA" w:eastAsia="en-ZA"/>
              </w:rPr>
              <w:t> </w:t>
            </w:r>
          </w:p>
        </w:tc>
      </w:tr>
    </w:tbl>
    <w:p w:rsidR="00EF5FD1" w:rsidRDefault="00EF5FD1" w:rsidP="00EF5FD1">
      <w:pPr>
        <w:rPr>
          <w:rFonts w:eastAsia="Times New Roman" w:cs="Times New Roman"/>
          <w:b/>
          <w:bCs/>
          <w:lang w:val="en-ZA"/>
        </w:rPr>
      </w:pPr>
    </w:p>
    <w:p w:rsidR="00EF5FD1" w:rsidRPr="00111D93" w:rsidRDefault="00EF5FD1" w:rsidP="00EF5FD1">
      <w:pPr>
        <w:rPr>
          <w:rFonts w:eastAsia="Times New Roman" w:cs="Times New Roman"/>
          <w:b/>
          <w:bCs/>
          <w:lang w:val="en-ZA"/>
        </w:rPr>
      </w:pPr>
    </w:p>
    <w:p w:rsidR="002B102F" w:rsidRDefault="002B102F">
      <w:bookmarkStart w:id="0" w:name="_GoBack"/>
      <w:bookmarkEnd w:id="0"/>
    </w:p>
    <w:sectPr w:rsidR="002B102F" w:rsidSect="00C430A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6851556"/>
      <w:docPartObj>
        <w:docPartGallery w:val="Page Numbers (Top of Page)"/>
        <w:docPartUnique/>
      </w:docPartObj>
    </w:sdtPr>
    <w:sdtEndPr>
      <w:rPr>
        <w:noProof/>
      </w:rPr>
    </w:sdtEndPr>
    <w:sdtContent>
      <w:p w:rsidR="00154A8B" w:rsidRDefault="00EF5FD1">
        <w:pPr>
          <w:pStyle w:val="Header"/>
          <w:jc w:val="center"/>
        </w:pPr>
        <w:r>
          <w:fldChar w:fldCharType="begin"/>
        </w:r>
        <w:r>
          <w:instrText xml:space="preserve"> PAGE   \* MERGEFORMAT </w:instrText>
        </w:r>
        <w:r>
          <w:fldChar w:fldCharType="separate"/>
        </w:r>
        <w:r>
          <w:rPr>
            <w:noProof/>
          </w:rPr>
          <w:t>1</w:t>
        </w:r>
        <w:r>
          <w:rPr>
            <w:noProof/>
          </w:rPr>
          <w:fldChar w:fldCharType="end"/>
        </w:r>
      </w:p>
    </w:sdtContent>
  </w:sdt>
  <w:p w:rsidR="00154A8B" w:rsidRDefault="00EF5F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1374E9"/>
    <w:multiLevelType w:val="hybridMultilevel"/>
    <w:tmpl w:val="773839EA"/>
    <w:lvl w:ilvl="0" w:tplc="1C090015">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FD1"/>
    <w:rsid w:val="002B102F"/>
    <w:rsid w:val="00EF5F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0C74AD-9DBB-4263-A34A-CCC6EEB77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5FD1"/>
    <w:pPr>
      <w:spacing w:line="360" w:lineRule="auto"/>
    </w:pPr>
    <w:rPr>
      <w:rFonts w:ascii="Times New Roman" w:eastAsiaTheme="minorEastAsia" w:hAnsi="Times New Roman"/>
      <w:sz w:val="24"/>
      <w:lang w:val="en-GB" w:eastAsia="en-GB"/>
    </w:rPr>
  </w:style>
  <w:style w:type="paragraph" w:styleId="Heading1">
    <w:name w:val="heading 1"/>
    <w:basedOn w:val="Normal"/>
    <w:next w:val="Normal"/>
    <w:link w:val="Heading1Char"/>
    <w:uiPriority w:val="9"/>
    <w:qFormat/>
    <w:rsid w:val="00EF5FD1"/>
    <w:pPr>
      <w:keepNext/>
      <w:keepLines/>
      <w:spacing w:before="240" w:after="100" w:afterAutospacing="1"/>
      <w:outlineLvl w:val="0"/>
    </w:pPr>
    <w:rPr>
      <w:rFonts w:eastAsiaTheme="majorEastAsia" w:cstheme="majorBidi"/>
      <w:b/>
      <w:sz w:val="26"/>
      <w:szCs w:val="32"/>
    </w:rPr>
  </w:style>
  <w:style w:type="paragraph" w:styleId="Heading2">
    <w:name w:val="heading 2"/>
    <w:basedOn w:val="Normal"/>
    <w:next w:val="Normal"/>
    <w:link w:val="Heading2Char"/>
    <w:unhideWhenUsed/>
    <w:qFormat/>
    <w:rsid w:val="00EF5FD1"/>
    <w:pPr>
      <w:keepNext/>
      <w:keepLines/>
      <w:spacing w:after="100" w:afterAutospacing="1"/>
      <w:outlineLvl w:val="1"/>
    </w:pPr>
    <w:rPr>
      <w:rFonts w:eastAsiaTheme="majorEastAsia" w:cstheme="majorBidi"/>
      <w:b/>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5FD1"/>
    <w:rPr>
      <w:rFonts w:ascii="Times New Roman" w:eastAsiaTheme="majorEastAsia" w:hAnsi="Times New Roman" w:cstheme="majorBidi"/>
      <w:b/>
      <w:sz w:val="26"/>
      <w:szCs w:val="32"/>
      <w:lang w:val="en-GB" w:eastAsia="en-GB"/>
    </w:rPr>
  </w:style>
  <w:style w:type="character" w:customStyle="1" w:styleId="Heading2Char">
    <w:name w:val="Heading 2 Char"/>
    <w:basedOn w:val="DefaultParagraphFont"/>
    <w:link w:val="Heading2"/>
    <w:rsid w:val="00EF5FD1"/>
    <w:rPr>
      <w:rFonts w:ascii="Times New Roman" w:eastAsiaTheme="majorEastAsia" w:hAnsi="Times New Roman" w:cstheme="majorBidi"/>
      <w:b/>
      <w:i/>
      <w:sz w:val="24"/>
      <w:szCs w:val="26"/>
      <w:lang w:val="en-GB" w:eastAsia="en-GB"/>
    </w:rPr>
  </w:style>
  <w:style w:type="paragraph" w:styleId="Header">
    <w:name w:val="header"/>
    <w:basedOn w:val="Normal"/>
    <w:link w:val="HeaderChar"/>
    <w:uiPriority w:val="99"/>
    <w:unhideWhenUsed/>
    <w:rsid w:val="00EF5F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F5FD1"/>
    <w:rPr>
      <w:rFonts w:ascii="Times New Roman" w:eastAsiaTheme="minorEastAsia" w:hAnsi="Times New Roman"/>
      <w:sz w:val="24"/>
      <w:lang w:val="en-GB" w:eastAsia="en-GB"/>
    </w:rPr>
  </w:style>
  <w:style w:type="paragraph" w:styleId="ListParagraph">
    <w:name w:val="List Paragraph"/>
    <w:basedOn w:val="Normal"/>
    <w:uiPriority w:val="34"/>
    <w:qFormat/>
    <w:rsid w:val="00EF5FD1"/>
    <w:pPr>
      <w:ind w:left="720"/>
      <w:contextualSpacing/>
    </w:pPr>
  </w:style>
  <w:style w:type="character" w:styleId="LineNumber">
    <w:name w:val="line number"/>
    <w:basedOn w:val="DefaultParagraphFont"/>
    <w:uiPriority w:val="99"/>
    <w:semiHidden/>
    <w:unhideWhenUsed/>
    <w:rsid w:val="00EF5F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914</Words>
  <Characters>5214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6116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2020-12-10T06:03:00Z</dcterms:created>
  <dcterms:modified xsi:type="dcterms:W3CDTF">2020-12-10T06:04:00Z</dcterms:modified>
</cp:coreProperties>
</file>