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B20" w:rsidRDefault="00AD197A">
      <w:r>
        <w:rPr>
          <w:noProof/>
        </w:rPr>
        <w:drawing>
          <wp:inline distT="0" distB="0" distL="0" distR="0">
            <wp:extent cx="5427980" cy="219075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145" cy="2216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B20" w:rsidRDefault="00AD197A">
      <w:pPr>
        <w:rPr>
          <w:b/>
          <w:sz w:val="24"/>
        </w:rPr>
      </w:pPr>
      <w:r>
        <w:rPr>
          <w:rFonts w:hint="eastAsia"/>
          <w:b/>
          <w:sz w:val="24"/>
        </w:rPr>
        <w:t>F</w:t>
      </w:r>
      <w:r>
        <w:rPr>
          <w:b/>
          <w:sz w:val="24"/>
        </w:rPr>
        <w:t>ig S</w:t>
      </w:r>
      <w:r>
        <w:rPr>
          <w:rFonts w:hint="eastAsia"/>
          <w:b/>
          <w:sz w:val="24"/>
        </w:rPr>
        <w:t>4</w:t>
      </w:r>
      <w:r>
        <w:rPr>
          <w:b/>
          <w:sz w:val="24"/>
        </w:rPr>
        <w:t>. Conserved domain prediction of two receptors</w:t>
      </w:r>
    </w:p>
    <w:p w:rsidR="007A369A" w:rsidRDefault="007A369A">
      <w:r>
        <w:br w:type="page"/>
      </w:r>
    </w:p>
    <w:p w:rsidR="007A369A" w:rsidRDefault="007A369A" w:rsidP="007A369A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lastRenderedPageBreak/>
        <w:t xml:space="preserve">Comparative transcriptome analysis reveals the mechanism of cross-protection against </w:t>
      </w:r>
      <w:r w:rsidRPr="00C27115">
        <w:rPr>
          <w:b/>
          <w:i/>
          <w:sz w:val="24"/>
        </w:rPr>
        <w:t>Verticillium</w:t>
      </w:r>
      <w:r w:rsidRPr="00C27115">
        <w:rPr>
          <w:b/>
          <w:sz w:val="24"/>
        </w:rPr>
        <w:t xml:space="preserve"> wilt conferred on sunflower by hypovirulent strain </w:t>
      </w:r>
      <w:r w:rsidRPr="00C27115">
        <w:rPr>
          <w:b/>
          <w:i/>
          <w:color w:val="231F20"/>
          <w:sz w:val="24"/>
        </w:rPr>
        <w:t>Gibellulopsis nigrescens</w:t>
      </w:r>
      <w:r w:rsidRPr="00C27115">
        <w:rPr>
          <w:b/>
          <w:sz w:val="24"/>
        </w:rPr>
        <w:t xml:space="preserve"> Vn-1</w:t>
      </w:r>
    </w:p>
    <w:p w:rsidR="007A369A" w:rsidRDefault="007A369A" w:rsidP="007A369A">
      <w:pPr>
        <w:spacing w:line="480" w:lineRule="auto"/>
        <w:jc w:val="left"/>
        <w:rPr>
          <w:b/>
          <w:sz w:val="24"/>
        </w:rPr>
      </w:pPr>
    </w:p>
    <w:p w:rsidR="007A369A" w:rsidRPr="00C27115" w:rsidRDefault="007A369A" w:rsidP="007A369A">
      <w:pPr>
        <w:spacing w:line="480" w:lineRule="auto"/>
        <w:jc w:val="left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uthors</w:t>
      </w:r>
      <w:r>
        <w:rPr>
          <w:rFonts w:hint="eastAsia"/>
          <w:b/>
          <w:sz w:val="24"/>
        </w:rPr>
        <w:t>：</w:t>
      </w:r>
    </w:p>
    <w:p w:rsidR="007A369A" w:rsidRPr="00C27115" w:rsidRDefault="007A369A" w:rsidP="007A369A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Xin Zhao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Bao-Zhu Dong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Ying-Jie Zhao, Dong Wang, Lan Jing, Hong-You Zhou*</w:t>
      </w:r>
    </w:p>
    <w:p w:rsidR="007A369A" w:rsidRDefault="007A369A" w:rsidP="007A369A">
      <w:pPr>
        <w:spacing w:line="480" w:lineRule="auto"/>
        <w:jc w:val="left"/>
        <w:rPr>
          <w:b/>
          <w:sz w:val="24"/>
        </w:rPr>
      </w:pPr>
      <w:r w:rsidRPr="00A76B68">
        <w:rPr>
          <w:b/>
          <w:sz w:val="24"/>
          <w:vertAlign w:val="superscript"/>
        </w:rPr>
        <w:t>#</w:t>
      </w:r>
      <w:r w:rsidRPr="00A76B68">
        <w:rPr>
          <w:b/>
          <w:sz w:val="24"/>
        </w:rPr>
        <w:t>Xin Zhao and Bao-Zhu Dong contributed equally to this work.</w:t>
      </w:r>
    </w:p>
    <w:p w:rsidR="007A369A" w:rsidRPr="00A76B68" w:rsidRDefault="007A369A" w:rsidP="007A369A">
      <w:pPr>
        <w:spacing w:line="480" w:lineRule="auto"/>
        <w:jc w:val="left"/>
        <w:rPr>
          <w:b/>
          <w:sz w:val="24"/>
        </w:rPr>
      </w:pPr>
    </w:p>
    <w:p w:rsidR="007A369A" w:rsidRPr="00C27115" w:rsidRDefault="007A369A" w:rsidP="007A369A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t xml:space="preserve">Institution: </w:t>
      </w:r>
    </w:p>
    <w:p w:rsidR="007A369A" w:rsidRPr="00C27115" w:rsidRDefault="007A369A" w:rsidP="007A369A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College of Horticulture and Plant Protection, Inner Mongolia Agricultural University, Hohhot, 100010, China</w:t>
      </w:r>
    </w:p>
    <w:p w:rsidR="007A369A" w:rsidRPr="00C27115" w:rsidRDefault="007A369A" w:rsidP="007A369A">
      <w:pPr>
        <w:rPr>
          <w:sz w:val="24"/>
        </w:rPr>
      </w:pPr>
    </w:p>
    <w:p w:rsidR="00CC2B20" w:rsidRPr="007A369A" w:rsidRDefault="00CC2B20">
      <w:bookmarkStart w:id="0" w:name="_GoBack"/>
      <w:bookmarkEnd w:id="0"/>
    </w:p>
    <w:sectPr w:rsidR="00CC2B20" w:rsidRPr="007A3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97A" w:rsidRDefault="00AD197A" w:rsidP="007A369A">
      <w:r>
        <w:separator/>
      </w:r>
    </w:p>
  </w:endnote>
  <w:endnote w:type="continuationSeparator" w:id="0">
    <w:p w:rsidR="00AD197A" w:rsidRDefault="00AD197A" w:rsidP="007A3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97A" w:rsidRDefault="00AD197A" w:rsidP="007A369A">
      <w:r>
        <w:separator/>
      </w:r>
    </w:p>
  </w:footnote>
  <w:footnote w:type="continuationSeparator" w:id="0">
    <w:p w:rsidR="00AD197A" w:rsidRDefault="00AD197A" w:rsidP="007A3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A99"/>
    <w:rsid w:val="0007232A"/>
    <w:rsid w:val="00241A99"/>
    <w:rsid w:val="002B7CD8"/>
    <w:rsid w:val="00643F27"/>
    <w:rsid w:val="007A369A"/>
    <w:rsid w:val="00AD197A"/>
    <w:rsid w:val="00B11EC4"/>
    <w:rsid w:val="00BD53C6"/>
    <w:rsid w:val="00C74B60"/>
    <w:rsid w:val="00CC2B20"/>
    <w:rsid w:val="16F44847"/>
    <w:rsid w:val="5D8B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19BE144-2108-4113-9013-1E860C3C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2020-12-02T12:41:00Z</dcterms:created>
  <dcterms:modified xsi:type="dcterms:W3CDTF">2020-12-13T03:32:00Z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