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333375</wp:posOffset>
            </wp:positionV>
            <wp:extent cx="5133340" cy="3453765"/>
            <wp:effectExtent l="0" t="0" r="2540" b="5715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345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TABLE 1</w:t>
      </w:r>
      <w:r>
        <w:rPr>
          <w:rFonts w:hint="eastAsia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 w:bidi="ar"/>
        </w:rPr>
        <w:t>List of qRT‐</w:t>
      </w:r>
      <w:r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 w:bidi="ar"/>
        </w:rPr>
        <w:t>PCR primers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kern w:val="0"/>
          <w:sz w:val="20"/>
          <w:szCs w:val="20"/>
          <w:lang w:val="en-US" w:eastAsia="zh-CN" w:bidi="ar"/>
        </w:rPr>
        <w:t>Note. circRNA: circular RNA; F: forward; PCR: polymerase chain reaction; qRT‐PCR: quantitative reverse transcription polymerase chain reaction; R: reverse.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222222"/>
          <w:spacing w:val="0"/>
          <w:sz w:val="21"/>
          <w:szCs w:val="21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673100</wp:posOffset>
            </wp:positionV>
            <wp:extent cx="5273675" cy="3292475"/>
            <wp:effectExtent l="0" t="0" r="14605" b="14605"/>
            <wp:wrapTopAndBottom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 xml:space="preserve">Table 2  </w:t>
      </w:r>
      <w:r>
        <w:rPr>
          <w:rFonts w:hint="eastAsia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 w:bidi="ar"/>
        </w:rPr>
        <w:t xml:space="preserve">List of top 10 significantly upregulated and downregulated circular RNAs </w:t>
      </w:r>
    </w:p>
    <w:p>
      <w:pPr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93952"/>
    <w:rsid w:val="3729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2022-01-19T08:20:00Z</dcterms:created>
  <dc:creator>Ashley</dc:creator>
  <cp:lastModifiedBy>Ashley</cp:lastModifiedBy>
  <dcterms:modified xsi:type="dcterms:W3CDTF">2022-01-19T08:34:27Z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C437397485F5486DB510697FE24DC053</vt:lpwstr>
  </property>
</Properties>
</file>