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Supplementary Materials</w:t>
      </w: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Supplementary Figures</w:t>
      </w:r>
    </w:p>
    <w:p>
      <w:pPr>
        <w:widowControl/>
        <w:spacing w:line="360" w:lineRule="auto"/>
        <w:jc w:val="center"/>
      </w:pPr>
      <w:r>
        <w:drawing>
          <wp:inline distT="0" distB="0" distL="114300" distR="114300">
            <wp:extent cx="6644640" cy="1883410"/>
            <wp:effectExtent l="0" t="0" r="635" b="6985"/>
            <wp:docPr id="3" name="图片 3" descr="Fig.1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1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88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abs>
          <w:tab w:val="left" w:pos="312"/>
        </w:tabs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Cs/>
          <w:sz w:val="24"/>
        </w:rPr>
        <w:t xml:space="preserve">Supplementary Figure 1. </w:t>
      </w:r>
      <w:r>
        <w:rPr>
          <w:rFonts w:ascii="Times New Roman" w:hAnsi="Times New Roman" w:cs="Times New Roman"/>
          <w:bCs/>
          <w:sz w:val="24"/>
        </w:rPr>
        <w:t>(</w:t>
      </w:r>
      <w:r>
        <w:rPr>
          <w:rFonts w:hint="eastAsia" w:ascii="Times New Roman" w:hAnsi="Times New Roman" w:cs="Times New Roman"/>
          <w:bCs/>
          <w:sz w:val="24"/>
        </w:rPr>
        <w:t>A</w:t>
      </w:r>
      <w:r>
        <w:rPr>
          <w:rFonts w:ascii="Times New Roman" w:hAnsi="Times New Roman" w:cs="Times New Roman"/>
          <w:bCs/>
          <w:sz w:val="24"/>
        </w:rPr>
        <w:t>)</w:t>
      </w:r>
      <w:r>
        <w:rPr>
          <w:rFonts w:hint="eastAsia"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Representative images of colony formation in Figure </w:t>
      </w:r>
      <w:r>
        <w:rPr>
          <w:rFonts w:hint="eastAsia" w:ascii="Times New Roman" w:hAnsi="Times New Roman" w:cs="Times New Roman"/>
          <w:sz w:val="24"/>
        </w:rPr>
        <w:t>2E</w:t>
      </w:r>
      <w:r>
        <w:rPr>
          <w:rFonts w:ascii="Times New Roman" w:hAnsi="Times New Roman" w:cs="Times New Roman"/>
          <w:sz w:val="24"/>
        </w:rPr>
        <w:t>. (</w:t>
      </w:r>
      <w:r>
        <w:rPr>
          <w:rFonts w:hint="eastAsia" w:ascii="Times New Roman" w:hAnsi="Times New Roman" w:cs="Times New Roman"/>
          <w:sz w:val="24"/>
        </w:rPr>
        <w:t>B</w:t>
      </w:r>
      <w:r>
        <w:rPr>
          <w:rFonts w:ascii="Times New Roman" w:hAnsi="Times New Roman" w:cs="Times New Roman"/>
          <w:sz w:val="24"/>
        </w:rPr>
        <w:t>)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Representative images of </w:t>
      </w:r>
      <w:r>
        <w:rPr>
          <w:rFonts w:hint="eastAsia" w:ascii="Times New Roman" w:hAnsi="Times New Roman" w:cs="Times New Roman"/>
          <w:sz w:val="24"/>
        </w:rPr>
        <w:t>w</w:t>
      </w:r>
      <w:r>
        <w:rPr>
          <w:rFonts w:ascii="Times New Roman" w:hAnsi="Times New Roman" w:cs="Times New Roman"/>
          <w:sz w:val="24"/>
        </w:rPr>
        <w:t>ound healing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assay in Figure </w:t>
      </w:r>
      <w:r>
        <w:rPr>
          <w:rFonts w:hint="eastAsia" w:ascii="Times New Roman" w:hAnsi="Times New Roman" w:cs="Times New Roman"/>
          <w:sz w:val="24"/>
        </w:rPr>
        <w:t>2F</w:t>
      </w:r>
      <w:r>
        <w:rPr>
          <w:rFonts w:ascii="Times New Roman" w:hAnsi="Times New Roman" w:cs="Times New Roman"/>
          <w:sz w:val="24"/>
        </w:rPr>
        <w:t>. (</w:t>
      </w:r>
      <w:r>
        <w:rPr>
          <w:rFonts w:hint="eastAsia" w:ascii="Times New Roman" w:hAnsi="Times New Roman" w:cs="Times New Roman"/>
          <w:sz w:val="24"/>
        </w:rPr>
        <w:t>C and D</w:t>
      </w:r>
      <w:r>
        <w:rPr>
          <w:rFonts w:ascii="Times New Roman" w:hAnsi="Times New Roman" w:cs="Times New Roman"/>
          <w:sz w:val="24"/>
        </w:rPr>
        <w:t>)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Representative images of</w:t>
      </w:r>
      <w:r>
        <w:rPr>
          <w:rFonts w:hint="eastAsia" w:ascii="Times New Roman" w:hAnsi="Times New Roman" w:cs="Times New Roman"/>
          <w:sz w:val="24"/>
        </w:rPr>
        <w:t xml:space="preserve"> t</w:t>
      </w:r>
      <w:r>
        <w:rPr>
          <w:rFonts w:ascii="Times New Roman" w:hAnsi="Times New Roman" w:cs="Times New Roman"/>
          <w:sz w:val="24"/>
        </w:rPr>
        <w:t xml:space="preserve">ranswell assay in Figure </w:t>
      </w:r>
      <w:r>
        <w:rPr>
          <w:rFonts w:hint="eastAsia" w:ascii="Times New Roman" w:hAnsi="Times New Roman" w:cs="Times New Roman"/>
          <w:sz w:val="24"/>
        </w:rPr>
        <w:t>2G and 2H</w:t>
      </w:r>
      <w:r>
        <w:rPr>
          <w:rFonts w:ascii="Times New Roman" w:hAnsi="Times New Roman" w:cs="Times New Roman"/>
          <w:sz w:val="24"/>
        </w:rPr>
        <w:t>.</w:t>
      </w:r>
    </w:p>
    <w:p>
      <w:pPr>
        <w:widowControl/>
        <w:tabs>
          <w:tab w:val="left" w:pos="312"/>
        </w:tabs>
        <w:spacing w:line="36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360" w:lineRule="auto"/>
        <w:jc w:val="center"/>
        <w:rPr>
          <w:color w:val="FF0000"/>
          <w:sz w:val="24"/>
        </w:rPr>
      </w:pPr>
      <w:r>
        <w:rPr>
          <w:rFonts w:hint="eastAsia"/>
          <w:color w:val="FF0000"/>
          <w:sz w:val="24"/>
        </w:rPr>
        <w:drawing>
          <wp:inline distT="0" distB="0" distL="114300" distR="114300">
            <wp:extent cx="1474470" cy="1337945"/>
            <wp:effectExtent l="0" t="0" r="3175" b="7620"/>
            <wp:docPr id="1" name="图片 1" descr="S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2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4470" cy="133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color w:val="FF0000"/>
          <w:sz w:val="24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Supplementary Figure 2. Radiant efficiency of in vivo fluorescence was measured to quantify the tumor burden of nude mice in Figure 3A.  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>
      <w:pPr>
        <w:spacing w:line="360" w:lineRule="auto"/>
        <w:jc w:val="center"/>
      </w:pPr>
      <w:r>
        <w:rPr>
          <w:rFonts w:hint="eastAsia"/>
        </w:rPr>
        <w:drawing>
          <wp:inline distT="0" distB="0" distL="114300" distR="114300">
            <wp:extent cx="6644640" cy="1106170"/>
            <wp:effectExtent l="0" t="0" r="635" b="0"/>
            <wp:docPr id="2" name="图片 2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10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adjustRightInd w:val="0"/>
        <w:snapToGrid w:val="0"/>
        <w:spacing w:line="480" w:lineRule="auto"/>
        <w:rPr>
          <w:sz w:val="24"/>
        </w:rPr>
      </w:pP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Supplementary Fi</w:t>
      </w:r>
      <w:r>
        <w:rPr>
          <w:rFonts w:hint="eastAsia" w:ascii="Times New Roman" w:hAnsi="Times New Roman" w:cs="Times New Roman"/>
          <w:bCs/>
          <w:sz w:val="24"/>
        </w:rPr>
        <w:t xml:space="preserve">gure 3. (A) </w:t>
      </w:r>
      <w:r>
        <w:rPr>
          <w:rFonts w:hint="eastAsia" w:ascii="Times New Roman" w:hAnsi="Times New Roman" w:cs="Times New Roman"/>
          <w:sz w:val="24"/>
        </w:rPr>
        <w:t>Ki67 and E-cad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 xml:space="preserve">mRNA </w:t>
      </w:r>
      <w:r>
        <w:rPr>
          <w:rFonts w:ascii="Times New Roman" w:hAnsi="Times New Roman" w:cs="Times New Roman"/>
          <w:sz w:val="24"/>
        </w:rPr>
        <w:t>expression</w:t>
      </w:r>
      <w:r>
        <w:rPr>
          <w:rFonts w:hint="eastAsia" w:ascii="Times New Roman" w:hAnsi="Times New Roman" w:cs="Times New Roman"/>
          <w:sz w:val="24"/>
        </w:rPr>
        <w:t xml:space="preserve"> i</w:t>
      </w:r>
      <w:r>
        <w:rPr>
          <w:rFonts w:ascii="Times New Roman" w:hAnsi="Times New Roman" w:cs="Times New Roman"/>
          <w:sz w:val="24"/>
        </w:rPr>
        <w:t xml:space="preserve">n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Bmi1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-silenced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</w:rPr>
        <w:t>xenografts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</w:t>
      </w:r>
      <w:r>
        <w:rPr>
          <w:rFonts w:hint="eastAsia" w:ascii="Times New Roman" w:hAnsi="Times New Roman" w:cs="Times New Roman"/>
          <w:sz w:val="24"/>
        </w:rPr>
        <w:t>ere</w:t>
      </w:r>
      <w:r>
        <w:rPr>
          <w:rFonts w:ascii="Times New Roman" w:hAnsi="Times New Roman" w:cs="Times New Roman"/>
          <w:sz w:val="24"/>
        </w:rPr>
        <w:t xml:space="preserve"> detected with qPCR</w:t>
      </w:r>
      <w:r>
        <w:rPr>
          <w:rFonts w:hint="eastAsia" w:ascii="Times New Roman" w:hAnsi="Times New Roman" w:cs="Times New Roman"/>
          <w:sz w:val="24"/>
        </w:rPr>
        <w:t>. (B) The mRNA ratio correlations between Bmi1 and ki67/E-cad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 xml:space="preserve">in </w:t>
      </w:r>
      <w:r>
        <w:rPr>
          <w:rFonts w:ascii="Times New Roman" w:hAnsi="Times New Roman" w:cs="Times New Roman"/>
          <w:sz w:val="24"/>
        </w:rPr>
        <w:t>xenografts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were subjected to Pearson correlation analysis.</w:t>
      </w:r>
      <w:r>
        <w:rPr>
          <w:rFonts w:hint="eastAsia" w:ascii="Times New Roman" w:hAnsi="Times New Roman" w:cs="Times New Roman"/>
          <w:sz w:val="24"/>
        </w:rPr>
        <w:t xml:space="preserve"> (C) Ki67 and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 xml:space="preserve">E-cad </w:t>
      </w:r>
      <w:r>
        <w:rPr>
          <w:rFonts w:ascii="Times New Roman" w:hAnsi="Times New Roman" w:cs="Times New Roman"/>
          <w:sz w:val="24"/>
        </w:rPr>
        <w:t xml:space="preserve">expression </w:t>
      </w:r>
      <w:r>
        <w:rPr>
          <w:rFonts w:hint="eastAsia" w:ascii="Times New Roman" w:hAnsi="Times New Roman" w:cs="Times New Roman"/>
          <w:sz w:val="24"/>
        </w:rPr>
        <w:t>were</w:t>
      </w:r>
      <w:r>
        <w:rPr>
          <w:rFonts w:ascii="Times New Roman" w:hAnsi="Times New Roman" w:cs="Times New Roman"/>
          <w:sz w:val="24"/>
        </w:rPr>
        <w:t xml:space="preserve"> calculated by </w:t>
      </w:r>
      <w:r>
        <w:rPr>
          <w:rFonts w:hint="eastAsia" w:ascii="Times New Roman" w:hAnsi="Times New Roman" w:cs="Times New Roman"/>
          <w:sz w:val="24"/>
        </w:rPr>
        <w:t xml:space="preserve">IHC score in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Bmi1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-silenced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</w:rPr>
        <w:t>xenografts</w:t>
      </w:r>
      <w:r>
        <w:rPr>
          <w:rFonts w:hint="eastAsia" w:ascii="Times New Roman" w:hAnsi="Times New Roman" w:cs="Times New Roman"/>
          <w:sz w:val="24"/>
        </w:rPr>
        <w:t xml:space="preserve">. (D)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hint="eastAsia" w:ascii="Times New Roman" w:hAnsi="Times New Roman" w:cs="Times New Roman"/>
          <w:sz w:val="24"/>
        </w:rPr>
        <w:t xml:space="preserve">IHC score </w:t>
      </w:r>
      <w:r>
        <w:rPr>
          <w:rFonts w:ascii="Times New Roman" w:hAnsi="Times New Roman" w:cs="Times New Roman"/>
          <w:sz w:val="24"/>
        </w:rPr>
        <w:t xml:space="preserve">correlations between </w:t>
      </w:r>
      <w:r>
        <w:rPr>
          <w:rFonts w:hint="eastAsia" w:ascii="Times New Roman" w:hAnsi="Times New Roman" w:cs="Times New Roman"/>
          <w:sz w:val="24"/>
        </w:rPr>
        <w:t>Bmi1</w:t>
      </w:r>
      <w:r>
        <w:rPr>
          <w:rFonts w:ascii="Times New Roman" w:hAnsi="Times New Roman" w:cs="Times New Roman"/>
          <w:sz w:val="24"/>
        </w:rPr>
        <w:t xml:space="preserve"> and </w:t>
      </w:r>
      <w:r>
        <w:rPr>
          <w:rFonts w:hint="eastAsia" w:ascii="Times New Roman" w:hAnsi="Times New Roman" w:cs="Times New Roman"/>
          <w:sz w:val="24"/>
        </w:rPr>
        <w:t>ki67/E-cad</w:t>
      </w:r>
      <w:r>
        <w:rPr>
          <w:rFonts w:ascii="Times New Roman" w:hAnsi="Times New Roman" w:cs="Times New Roman"/>
          <w:sz w:val="24"/>
        </w:rPr>
        <w:t xml:space="preserve"> in xenografts were evaluated with Pearson correlation </w:t>
      </w:r>
      <w:r>
        <w:rPr>
          <w:rFonts w:hint="eastAsia" w:ascii="Times New Roman" w:hAnsi="Times New Roman" w:cs="Times New Roman"/>
          <w:sz w:val="24"/>
        </w:rPr>
        <w:t>analysis</w:t>
      </w:r>
    </w:p>
    <w:p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6644640" cy="1912620"/>
            <wp:effectExtent l="0" t="0" r="635" b="2540"/>
            <wp:docPr id="13" name="图片 13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abs>
          <w:tab w:val="left" w:pos="312"/>
        </w:tabs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Cs/>
          <w:sz w:val="24"/>
        </w:rPr>
        <w:t xml:space="preserve">Supplementary Figure 4. (A) </w:t>
      </w:r>
      <w:r>
        <w:rPr>
          <w:rFonts w:ascii="Times New Roman" w:hAnsi="Times New Roman" w:cs="Times New Roman"/>
          <w:sz w:val="24"/>
        </w:rPr>
        <w:t xml:space="preserve">Representative images of colony formation in Figure </w:t>
      </w:r>
      <w:r>
        <w:rPr>
          <w:rFonts w:hint="eastAsia" w:ascii="Times New Roman" w:hAnsi="Times New Roman" w:cs="Times New Roman"/>
          <w:sz w:val="24"/>
        </w:rPr>
        <w:t>4E</w:t>
      </w:r>
      <w:r>
        <w:rPr>
          <w:rFonts w:ascii="Times New Roman" w:hAnsi="Times New Roman" w:cs="Times New Roman"/>
          <w:sz w:val="24"/>
        </w:rPr>
        <w:t>.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bCs/>
          <w:sz w:val="24"/>
        </w:rPr>
        <w:t xml:space="preserve">(B) </w:t>
      </w:r>
      <w:r>
        <w:rPr>
          <w:rFonts w:ascii="Times New Roman" w:hAnsi="Times New Roman" w:cs="Times New Roman"/>
          <w:sz w:val="24"/>
        </w:rPr>
        <w:t xml:space="preserve">Representative images of </w:t>
      </w:r>
      <w:r>
        <w:rPr>
          <w:rFonts w:hint="eastAsia" w:ascii="Times New Roman" w:hAnsi="Times New Roman" w:cs="Times New Roman"/>
          <w:sz w:val="24"/>
        </w:rPr>
        <w:t>w</w:t>
      </w:r>
      <w:r>
        <w:rPr>
          <w:rFonts w:ascii="Times New Roman" w:hAnsi="Times New Roman" w:cs="Times New Roman"/>
          <w:sz w:val="24"/>
        </w:rPr>
        <w:t>ound healing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assay in Figure </w:t>
      </w:r>
      <w:r>
        <w:rPr>
          <w:rFonts w:hint="eastAsia" w:ascii="Times New Roman" w:hAnsi="Times New Roman" w:cs="Times New Roman"/>
          <w:sz w:val="24"/>
        </w:rPr>
        <w:t>4F</w:t>
      </w:r>
      <w:r>
        <w:rPr>
          <w:rFonts w:ascii="Times New Roman" w:hAnsi="Times New Roman" w:cs="Times New Roman"/>
          <w:sz w:val="24"/>
        </w:rPr>
        <w:t>.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</w:rPr>
        <w:t>C and D</w:t>
      </w:r>
      <w:r>
        <w:rPr>
          <w:rFonts w:ascii="Times New Roman" w:hAnsi="Times New Roman" w:cs="Times New Roman"/>
          <w:sz w:val="24"/>
        </w:rPr>
        <w:t>)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Representative images of</w:t>
      </w:r>
      <w:r>
        <w:rPr>
          <w:rFonts w:hint="eastAsia" w:ascii="Times New Roman" w:hAnsi="Times New Roman" w:cs="Times New Roman"/>
          <w:sz w:val="24"/>
        </w:rPr>
        <w:t xml:space="preserve"> t</w:t>
      </w:r>
      <w:r>
        <w:rPr>
          <w:rFonts w:ascii="Times New Roman" w:hAnsi="Times New Roman" w:cs="Times New Roman"/>
          <w:sz w:val="24"/>
        </w:rPr>
        <w:t xml:space="preserve">ranswell assay in Figure </w:t>
      </w:r>
      <w:r>
        <w:rPr>
          <w:rFonts w:hint="eastAsia" w:ascii="Times New Roman" w:hAnsi="Times New Roman" w:cs="Times New Roman"/>
          <w:sz w:val="24"/>
        </w:rPr>
        <w:t>4G and 4H</w:t>
      </w:r>
      <w:r>
        <w:rPr>
          <w:rFonts w:ascii="Times New Roman" w:hAnsi="Times New Roman" w:cs="Times New Roman"/>
          <w:sz w:val="24"/>
        </w:rPr>
        <w:t>.</w:t>
      </w:r>
    </w:p>
    <w:p>
      <w:pPr>
        <w:widowControl/>
        <w:tabs>
          <w:tab w:val="left" w:pos="312"/>
        </w:tabs>
        <w:spacing w:line="360" w:lineRule="auto"/>
        <w:jc w:val="left"/>
        <w:rPr>
          <w:rFonts w:ascii="Times New Roman" w:hAnsi="Times New Roman" w:cs="Times New Roman"/>
          <w:sz w:val="24"/>
        </w:rPr>
      </w:pPr>
    </w:p>
    <w:p>
      <w:pPr>
        <w:widowControl/>
        <w:tabs>
          <w:tab w:val="left" w:pos="312"/>
        </w:tabs>
        <w:spacing w:line="360" w:lineRule="auto"/>
        <w:jc w:val="left"/>
        <w:rPr>
          <w:rFonts w:ascii="Times New Roman" w:hAnsi="Times New Roman" w:cs="Times New Roman"/>
          <w:sz w:val="24"/>
        </w:rPr>
      </w:pPr>
    </w:p>
    <w:p>
      <w:pPr>
        <w:tabs>
          <w:tab w:val="left" w:pos="312"/>
        </w:tabs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757545" cy="2231390"/>
            <wp:effectExtent l="0" t="0" r="4445" b="5715"/>
            <wp:docPr id="20" name="图片 20" descr="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7545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cs="Times New Roman"/>
          <w:bCs/>
          <w:sz w:val="24"/>
        </w:rPr>
        <w:t xml:space="preserve">Supplementary Figure 5. 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Representative images of </w:t>
      </w:r>
      <w:r>
        <w:rPr>
          <w:rFonts w:hint="eastAsia"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</w:rPr>
        <w:t>ranswell</w:t>
      </w:r>
      <w:r>
        <w:rPr>
          <w:rFonts w:hint="eastAsia" w:ascii="Times New Roman" w:hAnsi="Times New Roman" w:cs="Times New Roman"/>
          <w:sz w:val="24"/>
        </w:rPr>
        <w:t xml:space="preserve"> assay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 in Figure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4J </w:t>
      </w:r>
      <w:r>
        <w:rPr>
          <w:rFonts w:hint="eastAsia" w:ascii="Times New Roman" w:hAnsi="Times New Roman" w:cs="Times New Roman"/>
          <w:sz w:val="24"/>
        </w:rPr>
        <w:t>(A) and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4K</w:t>
      </w:r>
      <w:r>
        <w:rPr>
          <w:rFonts w:hint="eastAsia" w:ascii="Times New Roman" w:hAnsi="Times New Roman" w:cs="Times New Roman"/>
          <w:sz w:val="24"/>
        </w:rPr>
        <w:t>(B)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.</w:t>
      </w:r>
    </w:p>
    <w:p>
      <w:pPr>
        <w:tabs>
          <w:tab w:val="left" w:pos="312"/>
        </w:tabs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tabs>
          <w:tab w:val="left" w:pos="312"/>
        </w:tabs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tabs>
          <w:tab w:val="left" w:pos="312"/>
        </w:tabs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drawing>
          <wp:inline distT="0" distB="0" distL="114300" distR="114300">
            <wp:extent cx="6327775" cy="1798320"/>
            <wp:effectExtent l="0" t="0" r="3810" b="1270"/>
            <wp:docPr id="18" name="图片 18" descr="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27775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cs="Times New Roman"/>
          <w:bCs/>
          <w:sz w:val="24"/>
        </w:rPr>
        <w:t xml:space="preserve">Supplementary Figure 6. 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Representative images of </w:t>
      </w:r>
      <w:r>
        <w:rPr>
          <w:rFonts w:hint="eastAsia"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</w:rPr>
        <w:t>ranswell</w:t>
      </w:r>
      <w:r>
        <w:rPr>
          <w:rFonts w:hint="eastAsia" w:ascii="Times New Roman" w:hAnsi="Times New Roman" w:cs="Times New Roman"/>
          <w:sz w:val="24"/>
        </w:rPr>
        <w:t xml:space="preserve"> assay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 in Figure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5I </w:t>
      </w:r>
      <w:r>
        <w:rPr>
          <w:rFonts w:hint="eastAsia" w:ascii="Times New Roman" w:hAnsi="Times New Roman" w:cs="Times New Roman"/>
          <w:sz w:val="24"/>
        </w:rPr>
        <w:t>(A) and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5J</w:t>
      </w:r>
      <w:r>
        <w:rPr>
          <w:rFonts w:hint="eastAsia" w:ascii="Times New Roman" w:hAnsi="Times New Roman" w:cs="Times New Roman"/>
          <w:sz w:val="24"/>
        </w:rPr>
        <w:t>(B)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.</w:t>
      </w:r>
    </w:p>
    <w:p>
      <w:pPr>
        <w:tabs>
          <w:tab w:val="left" w:pos="312"/>
        </w:tabs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spacing w:line="360" w:lineRule="auto"/>
        <w:jc w:val="center"/>
        <w:rPr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  <w:r>
        <w:rPr>
          <w:rFonts w:hint="eastAsia" w:ascii="Times New Roman" w:hAnsi="Times New Roman" w:cs="Times New Roman"/>
          <w:bCs/>
          <w:sz w:val="24"/>
        </w:rPr>
        <w:drawing>
          <wp:inline distT="0" distB="0" distL="114300" distR="114300">
            <wp:extent cx="1318895" cy="1496695"/>
            <wp:effectExtent l="0" t="0" r="1905" b="5715"/>
            <wp:docPr id="4" name="图片 4" descr="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18895" cy="149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Cs/>
          <w:sz w:val="24"/>
        </w:rPr>
        <w:t xml:space="preserve">Supplementary Figure 7. 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Livers and lungs were weighed to assess the tumor burden of metastatic foci. 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ang="0" w14:scaled="0"/>
            </w14:gradFill>
          </w14:textFill>
        </w:rPr>
      </w:pPr>
    </w:p>
    <w:p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1558925" cy="1742440"/>
            <wp:effectExtent l="0" t="0" r="1270" b="7620"/>
            <wp:docPr id="5" name="图片 5" descr="S8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8-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58925" cy="174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</w:rPr>
      </w:pPr>
      <w:r>
        <w:rPr>
          <w:rFonts w:hint="eastAsia" w:ascii="Times New Roman" w:hAnsi="Times New Roman" w:cs="Times New Roman"/>
          <w:sz w:val="24"/>
        </w:rPr>
        <w:t>Supplementary Figure 8. Ki67 and E-cad</w:t>
      </w:r>
      <w:r>
        <w:rPr>
          <w:rFonts w:ascii="Times New Roman" w:hAnsi="Times New Roman" w:cs="Times New Roman"/>
          <w:sz w:val="24"/>
        </w:rPr>
        <w:t xml:space="preserve"> expression </w:t>
      </w:r>
      <w:r>
        <w:rPr>
          <w:rFonts w:hint="eastAsia" w:ascii="Times New Roman" w:hAnsi="Times New Roman" w:cs="Times New Roman"/>
          <w:sz w:val="24"/>
        </w:rPr>
        <w:t>were</w:t>
      </w:r>
      <w:r>
        <w:rPr>
          <w:rFonts w:ascii="Times New Roman" w:hAnsi="Times New Roman" w:cs="Times New Roman"/>
          <w:sz w:val="24"/>
        </w:rPr>
        <w:t xml:space="preserve"> calculated by </w:t>
      </w:r>
      <w:r>
        <w:rPr>
          <w:rFonts w:hint="eastAsia" w:ascii="Times New Roman" w:hAnsi="Times New Roman" w:cs="Times New Roman"/>
          <w:sz w:val="24"/>
        </w:rPr>
        <w:t>IHC score in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sz w:val="24"/>
        </w:rPr>
        <w:t>xenografts</w:t>
      </w:r>
      <w:r>
        <w:rPr>
          <w:rFonts w:hint="eastAsia" w:ascii="Times New Roman" w:hAnsi="Times New Roman" w:cs="Times New Roman"/>
          <w:sz w:val="24"/>
        </w:rPr>
        <w:t>.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4105910" cy="1539875"/>
            <wp:effectExtent l="0" t="0" r="5080" b="3810"/>
            <wp:docPr id="6" name="图片 6" descr="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05910" cy="153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sz w:val="24"/>
        </w:rPr>
        <w:t xml:space="preserve">Supplementary Figure 9. 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IHC scores of Bmi1 were negatively associated with CD8 in 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iCCA,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pCCA, and dCCA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widowControl/>
        <w:spacing w:line="360" w:lineRule="auto"/>
        <w:jc w:val="left"/>
        <w:rPr>
          <w:sz w:val="24"/>
        </w:rPr>
      </w:pP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Supplementary Tables</w:t>
      </w: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widowControl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Supplemen</w:t>
      </w:r>
      <w:r>
        <w:rPr>
          <w:rFonts w:hint="eastAsia" w:ascii="Times New Roman" w:hAnsi="Times New Roman" w:cs="Times New Roman"/>
          <w:b/>
          <w:sz w:val="24"/>
        </w:rPr>
        <w:t>tary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 Table 1. The information of reagents and antibodies</w:t>
      </w:r>
    </w:p>
    <w:p>
      <w:pPr>
        <w:widowControl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tbl>
      <w:tblPr>
        <w:tblStyle w:val="6"/>
        <w:tblW w:w="83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8"/>
        <w:gridCol w:w="2693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297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A</w:t>
            </w:r>
            <w:r>
              <w:rPr>
                <w:rFonts w:hint="default" w:ascii="Times New Roman" w:hAnsi="Times New Roman"/>
                <w:b/>
                <w:bCs/>
                <w:kern w:val="0"/>
                <w:sz w:val="24"/>
              </w:rPr>
              <w:t>ntibodies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Source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/>
                <w:b/>
                <w:bCs/>
                <w:kern w:val="0"/>
                <w:sz w:val="24"/>
              </w:rPr>
              <w:t>I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dentifier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Bmi1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default" w:ascii="Times New Roman" w:hAnsi="Times New Roman"/>
                <w:kern w:val="0"/>
                <w:sz w:val="24"/>
              </w:rPr>
              <w:t>Cell Signaling Technology</w:t>
            </w:r>
            <w:r>
              <w:rPr>
                <w:rFonts w:hint="eastAsia" w:ascii="Times New Roman" w:hAnsi="Times New Roman"/>
                <w:kern w:val="0"/>
                <w:sz w:val="24"/>
              </w:rPr>
              <w:t>(CST)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Cat. No. D20B7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E-cadherin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CST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Cat. No. 24E10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N-cad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CST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Cat. No. D4R1H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Snail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CST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Cat. No. C15D3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Ubiquityl-Histone H2A (Lys119)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CST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Cat. No.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D27C4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Histone-H3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CST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Cat. No. 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D1H2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p53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Abcam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Cat. No. Ab26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ki-67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Abcam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Cat. No. Ab15580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CD81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Abcam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Cat. No. Ab79559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TSG101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Abcam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Cat. No. Ab83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Calnexin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Abcam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Cat. No. Ab133615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β-actin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Abcam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Cat. No. Ab8226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CD8A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Proteintech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default" w:ascii="Times New Roman" w:hAnsi="Times New Roman"/>
                <w:kern w:val="0"/>
                <w:sz w:val="24"/>
              </w:rPr>
              <w:t xml:space="preserve">Cat. No. </w:t>
            </w:r>
            <w:r>
              <w:rPr>
                <w:rFonts w:hint="eastAsia" w:ascii="Times New Roman" w:hAnsi="Times New Roman"/>
                <w:kern w:val="0"/>
                <w:sz w:val="24"/>
              </w:rPr>
              <w:t>65069-1-Ig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CCL5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Immunoway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Cat. No.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YT4002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CXCL9</w:t>
            </w:r>
          </w:p>
        </w:tc>
        <w:tc>
          <w:tcPr>
            <w:tcW w:w="2693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Immunoway</w:t>
            </w:r>
          </w:p>
        </w:tc>
        <w:tc>
          <w:tcPr>
            <w:tcW w:w="2693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Cat. No.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YT6008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color w:val="FF0000"/>
                <w:kern w:val="0"/>
                <w:sz w:val="24"/>
              </w:rPr>
            </w:pPr>
            <w:r>
              <w:rPr>
                <w:rFonts w:hint="default" w:ascii="Times New Roman" w:hAnsi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Proteins and Chemicals</w:t>
            </w:r>
          </w:p>
        </w:tc>
        <w:tc>
          <w:tcPr>
            <w:tcW w:w="269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Source</w:t>
            </w:r>
          </w:p>
        </w:tc>
        <w:tc>
          <w:tcPr>
            <w:tcW w:w="269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/>
                <w:b/>
                <w:bCs/>
                <w:kern w:val="0"/>
                <w:sz w:val="24"/>
              </w:rPr>
              <w:t>I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dentifier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Recombinant human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Bmi1</w:t>
            </w:r>
          </w:p>
        </w:tc>
        <w:tc>
          <w:tcPr>
            <w:tcW w:w="2693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Abcam</w:t>
            </w:r>
          </w:p>
        </w:tc>
        <w:tc>
          <w:tcPr>
            <w:tcW w:w="2693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Cat. No. 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Ab114169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PTC-209</w:t>
            </w:r>
          </w:p>
        </w:tc>
        <w:tc>
          <w:tcPr>
            <w:tcW w:w="26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default" w:ascii="Times New Roman" w:hAnsi="Times New Roman"/>
                <w:kern w:val="0"/>
                <w:sz w:val="24"/>
              </w:rPr>
              <w:t>Selleck Chemicals</w:t>
            </w:r>
          </w:p>
        </w:tc>
        <w:tc>
          <w:tcPr>
            <w:tcW w:w="26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default" w:ascii="Times New Roman" w:hAnsi="Times New Roman"/>
                <w:kern w:val="0"/>
                <w:sz w:val="24"/>
              </w:rPr>
              <w:t xml:space="preserve">Cat. No. </w:t>
            </w:r>
            <w:r>
              <w:rPr>
                <w:rFonts w:hint="eastAsia" w:ascii="Times New Roman" w:hAnsi="Times New Roman"/>
                <w:kern w:val="0"/>
                <w:sz w:val="24"/>
              </w:rPr>
              <w:t>315704-66-6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978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GW4869</w:t>
            </w:r>
          </w:p>
        </w:tc>
        <w:tc>
          <w:tcPr>
            <w:tcW w:w="2693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Sigma-Aldrich</w:t>
            </w:r>
          </w:p>
        </w:tc>
        <w:tc>
          <w:tcPr>
            <w:tcW w:w="2693" w:type="dxa"/>
            <w:tcBorders>
              <w:top w:val="single" w:color="auto" w:sz="4" w:space="0"/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default" w:ascii="Times New Roman" w:hAnsi="Times New Roman"/>
                <w:kern w:val="0"/>
                <w:sz w:val="24"/>
              </w:rPr>
              <w:t>Cat. No.</w:t>
            </w:r>
            <w:r>
              <w:rPr>
                <w:rFonts w:hint="eastAsia" w:ascii="Times New Roman" w:hAnsi="Times New Roman"/>
                <w:kern w:val="0"/>
                <w:sz w:val="24"/>
              </w:rPr>
              <w:t xml:space="preserve"> 6823-69-4</w:t>
            </w:r>
          </w:p>
        </w:tc>
      </w:tr>
    </w:tbl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jc w:val="center"/>
        <w:rPr>
          <w:rFonts w:hint="eastAsia" w:ascii="Times New Roman" w:hAnsi="Times New Roman" w:cs="Times New Roman"/>
          <w:b/>
          <w:sz w:val="24"/>
        </w:rPr>
      </w:pPr>
    </w:p>
    <w:p>
      <w:pPr>
        <w:jc w:val="center"/>
        <w:rPr>
          <w:rFonts w:ascii="Times New Roman" w:hAnsi="Times New Roman" w:cs="Times New Roman"/>
          <w:b/>
          <w:sz w:val="24"/>
        </w:rPr>
      </w:pPr>
    </w:p>
    <w:p>
      <w:pPr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</w:rPr>
        <w:t>Supplementary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>. Correlations between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kern w:val="0"/>
          <w:sz w:val="24"/>
          <w:szCs w:val="24"/>
        </w:rPr>
        <w:t>Bmi1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expression and clinicopathological characteristics </w:t>
      </w:r>
      <w:r>
        <w:rPr>
          <w:rFonts w:hint="eastAsia" w:ascii="Times New Roman" w:hAnsi="Times New Roman"/>
          <w:b/>
          <w:bCs/>
          <w:kern w:val="0"/>
          <w:sz w:val="24"/>
          <w:szCs w:val="24"/>
        </w:rPr>
        <w:t>iCCA, pCCA, and dCCA.</w:t>
      </w:r>
    </w:p>
    <w:p>
      <w:pPr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</w:p>
    <w:tbl>
      <w:tblPr>
        <w:tblStyle w:val="6"/>
        <w:tblW w:w="107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000"/>
        <w:gridCol w:w="986"/>
        <w:gridCol w:w="1007"/>
        <w:gridCol w:w="1000"/>
        <w:gridCol w:w="986"/>
        <w:gridCol w:w="1007"/>
        <w:gridCol w:w="1000"/>
        <w:gridCol w:w="986"/>
        <w:gridCol w:w="10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78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/>
                <w:bCs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299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iCCA</w:t>
            </w:r>
          </w:p>
        </w:tc>
        <w:tc>
          <w:tcPr>
            <w:tcW w:w="299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pCCA</w:t>
            </w:r>
          </w:p>
        </w:tc>
        <w:tc>
          <w:tcPr>
            <w:tcW w:w="299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dCCA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8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Bmi1-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(n=29)</w:t>
            </w:r>
          </w:p>
        </w:tc>
        <w:tc>
          <w:tcPr>
            <w:tcW w:w="986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Bmi1+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(n=29)</w:t>
            </w:r>
          </w:p>
        </w:tc>
        <w:tc>
          <w:tcPr>
            <w:tcW w:w="1007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000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Bmi1-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(n=64)</w:t>
            </w:r>
          </w:p>
        </w:tc>
        <w:tc>
          <w:tcPr>
            <w:tcW w:w="986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Bmi1+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(n=59)</w:t>
            </w:r>
          </w:p>
        </w:tc>
        <w:tc>
          <w:tcPr>
            <w:tcW w:w="1007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000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Bmi1-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(n=49)</w:t>
            </w:r>
          </w:p>
        </w:tc>
        <w:tc>
          <w:tcPr>
            <w:tcW w:w="986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Bmi1+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(n=52)</w:t>
            </w:r>
          </w:p>
        </w:tc>
        <w:tc>
          <w:tcPr>
            <w:tcW w:w="1007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89" w:type="dxa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bookmarkStart w:id="0" w:name="OLE_LINK10"/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&lt;</w:t>
            </w:r>
            <w:bookmarkEnd w:id="0"/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0.005</w:t>
            </w:r>
            <w:r>
              <w:rPr>
                <w:rFonts w:hint="default" w:ascii="Times New Roman" w:hAnsi="Times New Roman"/>
                <w:b/>
                <w:bCs/>
                <w:sz w:val="24"/>
                <w:szCs w:val="24"/>
              </w:rPr>
              <w:t>**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0.472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≥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65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Gender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bookmarkStart w:id="1" w:name="OLE_LINK14"/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female</w:t>
            </w:r>
            <w:bookmarkEnd w:id="1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1.000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0.163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male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Tumor size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bookmarkStart w:id="2" w:name="OLE_LINK15"/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&lt;</w:t>
            </w:r>
            <w:bookmarkEnd w:id="2"/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2.5cm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0.028</w:t>
            </w:r>
            <w:r>
              <w:rPr>
                <w:rFonts w:hint="default" w:ascii="Times New Roman" w:hAnsi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 w:firstLineChars="100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0.031</w:t>
            </w:r>
            <w:r>
              <w:rPr>
                <w:rFonts w:hint="default" w:ascii="Times New Roman" w:hAnsi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0.544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≥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2.5cm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Differentiation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bookmarkStart w:id="3" w:name="OLE_LINK16"/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Wel</w:t>
            </w:r>
            <w:bookmarkEnd w:id="3"/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l+</w:t>
            </w: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Moderate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0.599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0.251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0.842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Poor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T stage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bookmarkStart w:id="4" w:name="OLE_LINK20"/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T1</w:t>
            </w:r>
            <w:bookmarkEnd w:id="4"/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+T2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0.100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0.285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0.001</w:t>
            </w:r>
            <w:r>
              <w:rPr>
                <w:rFonts w:hint="default" w:ascii="Times New Roman" w:hAnsi="Times New Roman"/>
                <w:b/>
                <w:bCs/>
                <w:sz w:val="24"/>
                <w:szCs w:val="24"/>
              </w:rPr>
              <w:t>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T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3+</w:t>
            </w: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T4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N stage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bookmarkStart w:id="5" w:name="OLE_LINK21"/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N0</w:t>
            </w:r>
            <w:bookmarkEnd w:id="5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0.600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0.576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0.125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N1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+</w:t>
            </w: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N2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M stage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bookmarkStart w:id="6" w:name="OLE_LINK25"/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M0</w:t>
            </w:r>
            <w:bookmarkEnd w:id="6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0.194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1.000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0.364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M1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0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TNM stage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kern w:val="0"/>
                <w:sz w:val="24"/>
                <w:szCs w:val="24"/>
              </w:rPr>
            </w:pPr>
            <w:bookmarkStart w:id="7" w:name="OLE_LINK27"/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I</w:t>
            </w:r>
            <w:bookmarkEnd w:id="7"/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+II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1.000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1.000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0.716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9" w:type="dxa"/>
            <w:tcBorders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III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</w:rPr>
              <w:t>+</w:t>
            </w:r>
            <w:r>
              <w:rPr>
                <w:rFonts w:hint="default" w:ascii="Times New Roman" w:hAnsi="Times New Roman"/>
                <w:bCs/>
                <w:kern w:val="0"/>
                <w:sz w:val="24"/>
                <w:szCs w:val="24"/>
              </w:rPr>
              <w:t>IV</w:t>
            </w:r>
          </w:p>
        </w:tc>
        <w:tc>
          <w:tcPr>
            <w:tcW w:w="1000" w:type="dxa"/>
            <w:tcBorders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86" w:type="dxa"/>
            <w:tcBorders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07" w:type="dxa"/>
            <w:vMerge w:val="continue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986" w:type="dxa"/>
            <w:tcBorders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07" w:type="dxa"/>
            <w:vMerge w:val="continue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6" w:type="dxa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07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rPr>
          <w:rFonts w:ascii="Times New Roman" w:hAnsi="Times New Roman"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both"/>
        <w:rPr>
          <w:rFonts w:ascii="Times New Roman" w:hAnsi="Times New Roman" w:eastAsia="宋体" w:cs="Times New Roman"/>
          <w:b/>
          <w:bCs/>
          <w:kern w:val="0"/>
          <w:sz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</w:rPr>
        <w:t>Abbreviations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:</w:t>
      </w:r>
    </w:p>
    <w:p>
      <w:pPr>
        <w:widowControl/>
        <w:jc w:val="both"/>
        <w:rPr>
          <w:rFonts w:ascii="Times New Roman" w:hAnsi="Times New Roman" w:eastAsia="宋体" w:cs="Times New Roman"/>
          <w:kern w:val="0"/>
          <w:sz w:val="24"/>
        </w:rPr>
      </w:pPr>
      <w:r>
        <w:rPr>
          <w:rFonts w:ascii="Times New Roman" w:hAnsi="Times New Roman" w:eastAsia="宋体" w:cs="Times New Roman"/>
          <w:kern w:val="0"/>
          <w:sz w:val="24"/>
        </w:rPr>
        <w:t>CC</w:t>
      </w:r>
      <w:r>
        <w:rPr>
          <w:rFonts w:hint="eastAsia" w:ascii="Times New Roman" w:hAnsi="Times New Roman" w:eastAsia="宋体" w:cs="Times New Roman"/>
          <w:kern w:val="0"/>
          <w:sz w:val="24"/>
        </w:rPr>
        <w:t>A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</w:rPr>
        <w:t>=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</w:rPr>
        <w:t>cholangiocarcinoma</w:t>
      </w:r>
      <w:r>
        <w:rPr>
          <w:rFonts w:hint="eastAsia" w:ascii="Times New Roman" w:hAnsi="Times New Roman" w:eastAsia="宋体" w:cs="Times New Roman"/>
          <w:kern w:val="0"/>
          <w:sz w:val="24"/>
        </w:rPr>
        <w:t>,</w:t>
      </w:r>
    </w:p>
    <w:p>
      <w:pPr>
        <w:widowControl/>
        <w:jc w:val="both"/>
        <w:rPr>
          <w:rFonts w:ascii="Times New Roman" w:hAnsi="Times New Roman" w:eastAsia="宋体" w:cs="Times New Roman"/>
          <w:kern w:val="0"/>
          <w:sz w:val="24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>iCCA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</w:rPr>
        <w:t>=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</w:rPr>
        <w:t xml:space="preserve">intrahepatic cholangiocarcinoma, </w:t>
      </w:r>
    </w:p>
    <w:p>
      <w:pPr>
        <w:widowControl/>
        <w:jc w:val="both"/>
        <w:rPr>
          <w:rFonts w:ascii="Times New Roman" w:hAnsi="Times New Roman" w:eastAsia="宋体" w:cs="Times New Roman"/>
          <w:kern w:val="0"/>
          <w:sz w:val="24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>pCCA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</w:rPr>
        <w:t>=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</w:rPr>
        <w:t>perihilar cholangiocarcinoma,</w:t>
      </w:r>
    </w:p>
    <w:p>
      <w:pPr>
        <w:widowControl/>
        <w:jc w:val="both"/>
        <w:rPr>
          <w:rFonts w:ascii="Times New Roman" w:hAnsi="Times New Roman"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>dCCA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</w:rPr>
        <w:t>=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4"/>
        </w:rPr>
        <w:t>distal cholangiocarcinoma.</w:t>
      </w:r>
    </w:p>
    <w:p>
      <w:pPr>
        <w:widowControl/>
        <w:rPr>
          <w:rFonts w:ascii="Times New Roman" w:hAnsi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Times New Roman" w:hAnsi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Calculated by</w:t>
      </w:r>
      <w:r>
        <w:rPr>
          <w:rFonts w:hint="eastAsia" w:ascii="Times New Roman" w:hAnsi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Chi-square test；</w:t>
      </w:r>
    </w:p>
    <w:p>
      <w:pPr>
        <w:rPr>
          <w:rFonts w:ascii="Times New Roman" w:hAnsi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*: </w:t>
      </w:r>
      <w:r>
        <w:rPr>
          <w:rFonts w:ascii="Times New Roman" w:hAnsi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Times New Roman" w:hAnsi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&lt;0.05, **: </w:t>
      </w:r>
      <w:r>
        <w:rPr>
          <w:rFonts w:ascii="Times New Roman" w:hAnsi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Times New Roman" w:hAnsi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&lt;0.01 </w:t>
      </w: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Supplemen</w:t>
      </w:r>
      <w:r>
        <w:rPr>
          <w:rFonts w:hint="eastAsia" w:ascii="Times New Roman" w:hAnsi="Times New Roman" w:cs="Times New Roman"/>
          <w:b/>
          <w:sz w:val="24"/>
        </w:rPr>
        <w:t>tary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 Table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. The Primer sequences for qPCR</w:t>
      </w:r>
    </w:p>
    <w:p>
      <w:pPr>
        <w:spacing w:line="360" w:lineRule="auto"/>
        <w:ind w:firstLine="240" w:firstLineChars="100"/>
        <w:jc w:val="center"/>
        <w:rPr>
          <w:rFonts w:hint="eastAsia" w:ascii="Times New Roman" w:hAnsi="Times New Roman"/>
          <w:bCs/>
          <w:sz w:val="24"/>
        </w:rPr>
      </w:pPr>
    </w:p>
    <w:tbl>
      <w:tblPr>
        <w:tblStyle w:val="6"/>
        <w:tblW w:w="95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3948"/>
        <w:gridCol w:w="40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56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Target genes</w:t>
            </w:r>
          </w:p>
        </w:tc>
        <w:tc>
          <w:tcPr>
            <w:tcW w:w="394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/>
                <w:b/>
                <w:bCs/>
                <w:kern w:val="0"/>
                <w:sz w:val="24"/>
              </w:rPr>
              <w:t>Forward primer (5’-3’)</w:t>
            </w:r>
          </w:p>
        </w:tc>
        <w:tc>
          <w:tcPr>
            <w:tcW w:w="402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/>
                <w:b/>
                <w:bCs/>
                <w:kern w:val="0"/>
                <w:sz w:val="24"/>
              </w:rPr>
              <w:t>Reverse primer (5’-3’)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56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iCs/>
                <w:kern w:val="0"/>
                <w:sz w:val="24"/>
              </w:rPr>
              <w:t>Bmi1</w:t>
            </w:r>
          </w:p>
        </w:tc>
        <w:tc>
          <w:tcPr>
            <w:tcW w:w="394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GAGGGTACTTCATTGATGCCACAAC</w:t>
            </w:r>
          </w:p>
        </w:tc>
        <w:tc>
          <w:tcPr>
            <w:tcW w:w="402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GCTGGTCTCCAGGTAACGAACAATA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Ki67</w:t>
            </w: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AGTACAACGACCCAACCCAA</w:t>
            </w:r>
          </w:p>
        </w:tc>
        <w:tc>
          <w:tcPr>
            <w:tcW w:w="40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GGCTGTGCCTTCCTACAGAC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iCs/>
                <w:kern w:val="0"/>
                <w:sz w:val="24"/>
              </w:rPr>
              <w:t>E-cad</w:t>
            </w: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TCAGACTCCATGTGCCTGAGA</w:t>
            </w:r>
          </w:p>
        </w:tc>
        <w:tc>
          <w:tcPr>
            <w:tcW w:w="40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CACATTGTCCTCAGCCTTCTTTG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iCs/>
                <w:color w:val="FF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CD8A</w:t>
            </w: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CCTTACCAGTGACCGCCTT</w:t>
            </w:r>
          </w:p>
        </w:tc>
        <w:tc>
          <w:tcPr>
            <w:tcW w:w="40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AGGTTCCAGGTCCGATCCAG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iCs/>
                <w:color w:val="FF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CCL5</w:t>
            </w: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CGAAAGAACCGCCAAGTGTG</w:t>
            </w:r>
          </w:p>
        </w:tc>
        <w:tc>
          <w:tcPr>
            <w:tcW w:w="40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FF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CGGGTGGGGTAGGATAGTGA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iCs/>
                <w:kern w:val="0"/>
                <w:sz w:val="24"/>
              </w:rPr>
            </w:pPr>
            <w:r>
              <w:rPr>
                <w:rFonts w:hint="eastAsia" w:ascii="Times New Roman" w:hAnsi="Times New Roman"/>
                <w:iCs/>
                <w:kern w:val="0"/>
                <w:sz w:val="24"/>
              </w:rPr>
              <w:t>CXCL9</w:t>
            </w: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GGTGTTCTTTTCCTCTTGGGC</w:t>
            </w:r>
          </w:p>
        </w:tc>
        <w:tc>
          <w:tcPr>
            <w:tcW w:w="40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AACAGCGACCCTTTCTCACT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iCs/>
                <w:kern w:val="0"/>
                <w:sz w:val="24"/>
              </w:rPr>
            </w:pPr>
            <w:r>
              <w:rPr>
                <w:rFonts w:hint="default" w:ascii="Times New Roman" w:hAnsi="Times New Roman"/>
                <w:iCs/>
                <w:kern w:val="0"/>
                <w:sz w:val="24"/>
              </w:rPr>
              <w:t>GAPDH</w:t>
            </w: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default" w:ascii="Times New Roman" w:hAnsi="Times New Roman"/>
                <w:kern w:val="0"/>
                <w:sz w:val="24"/>
              </w:rPr>
              <w:t>GAGTCAACGGATTTGGTCGT</w:t>
            </w:r>
          </w:p>
        </w:tc>
        <w:tc>
          <w:tcPr>
            <w:tcW w:w="4021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default" w:ascii="Times New Roman" w:hAnsi="Times New Roman"/>
                <w:kern w:val="0"/>
                <w:sz w:val="24"/>
              </w:rPr>
              <w:t>GACAAGCTTCCCGTTCTCAG</w:t>
            </w:r>
          </w:p>
        </w:tc>
      </w:tr>
    </w:tbl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jc w:val="both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hint="eastAsia" w:ascii="Times New Roman" w:hAnsi="Times New Roman" w:eastAsia="宋体" w:cs="Times New Roman"/>
          <w:b/>
          <w:bCs/>
          <w:kern w:val="0"/>
          <w:sz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Supplemen</w:t>
      </w:r>
      <w:r>
        <w:rPr>
          <w:rFonts w:hint="eastAsia" w:ascii="Times New Roman" w:hAnsi="Times New Roman" w:cs="Times New Roman"/>
          <w:b/>
          <w:sz w:val="24"/>
        </w:rPr>
        <w:t>tary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 Table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. The information of shRNA sequences</w:t>
      </w:r>
    </w:p>
    <w:tbl>
      <w:tblPr>
        <w:tblStyle w:val="6"/>
        <w:tblW w:w="84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2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226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Name</w:t>
            </w:r>
          </w:p>
        </w:tc>
        <w:tc>
          <w:tcPr>
            <w:tcW w:w="623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The target sequence of shRNAs and siRNA (5’- 3’)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68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0"/>
                <w:sz w:val="24"/>
                <w:szCs w:val="24"/>
              </w:rPr>
              <w:t>sh</w:t>
            </w:r>
            <w:r>
              <w:rPr>
                <w:rFonts w:hint="eastAsia" w:ascii="Times New Roman" w:hAnsi="Times New Roman" w:eastAsia="宋体" w:cs="Times New Roman"/>
                <w:iCs/>
                <w:kern w:val="0"/>
                <w:sz w:val="24"/>
                <w:szCs w:val="24"/>
                <w:lang w:eastAsia="zh-CN"/>
              </w:rPr>
              <w:t>Bmi1</w:t>
            </w:r>
            <w:r>
              <w:rPr>
                <w:rFonts w:hint="eastAsia" w:ascii="Times New Roman" w:hAnsi="Times New Roman" w:eastAsia="宋体" w:cs="Times New Roman"/>
                <w:iCs/>
                <w:kern w:val="0"/>
                <w:sz w:val="24"/>
                <w:szCs w:val="24"/>
              </w:rPr>
              <w:t>-1</w:t>
            </w:r>
          </w:p>
        </w:tc>
        <w:tc>
          <w:tcPr>
            <w:tcW w:w="6231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CCTGGAGACCAGCAAGTAT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iCs/>
                <w:kern w:val="0"/>
                <w:sz w:val="24"/>
                <w:szCs w:val="24"/>
              </w:rPr>
              <w:t>sh</w:t>
            </w:r>
            <w:r>
              <w:rPr>
                <w:rFonts w:hint="eastAsia" w:ascii="Times New Roman" w:hAnsi="Times New Roman" w:eastAsia="宋体" w:cs="Times New Roman"/>
                <w:iCs/>
                <w:kern w:val="0"/>
                <w:sz w:val="24"/>
                <w:szCs w:val="24"/>
                <w:lang w:eastAsia="zh-CN"/>
              </w:rPr>
              <w:t>Bmi1</w:t>
            </w:r>
            <w:r>
              <w:rPr>
                <w:rFonts w:hint="eastAsia" w:ascii="Times New Roman" w:hAnsi="Times New Roman" w:eastAsia="宋体" w:cs="Times New Roman"/>
                <w:iCs/>
                <w:kern w:val="0"/>
                <w:sz w:val="24"/>
                <w:szCs w:val="24"/>
              </w:rPr>
              <w:t>-2</w:t>
            </w:r>
          </w:p>
        </w:tc>
        <w:tc>
          <w:tcPr>
            <w:tcW w:w="6231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GTTCTCCGAACGTGTCACGT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26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Name</w:t>
            </w:r>
          </w:p>
        </w:tc>
        <w:tc>
          <w:tcPr>
            <w:tcW w:w="623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The negative sequence of shRNAs and siRNA (5’- 3’)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  <w:jc w:val="center"/>
        </w:trPr>
        <w:tc>
          <w:tcPr>
            <w:tcW w:w="226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eastAsia="宋体" w:cs="Times New Roman"/>
                <w:i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Cs/>
                <w:kern w:val="0"/>
                <w:sz w:val="24"/>
                <w:szCs w:val="24"/>
              </w:rPr>
              <w:t>sh-scramble -</w:t>
            </w:r>
            <w:r>
              <w:rPr>
                <w:rFonts w:hint="eastAsia" w:ascii="Times New Roman" w:hAnsi="Times New Roman" w:eastAsia="宋体" w:cs="Times New Roman"/>
                <w:iCs/>
                <w:kern w:val="0"/>
                <w:sz w:val="24"/>
                <w:szCs w:val="24"/>
                <w:lang w:eastAsia="zh-CN"/>
              </w:rPr>
              <w:t>Bmi1</w:t>
            </w:r>
          </w:p>
        </w:tc>
        <w:tc>
          <w:tcPr>
            <w:tcW w:w="623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TTCTCCGAACGTGTCACGT</w:t>
            </w:r>
          </w:p>
        </w:tc>
      </w:tr>
    </w:tbl>
    <w:p>
      <w:pPr>
        <w:spacing w:line="360" w:lineRule="auto"/>
        <w:ind w:firstLine="241" w:firstLineChars="100"/>
        <w:jc w:val="both"/>
        <w:rPr>
          <w:rFonts w:hint="eastAsia"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宋体" w:cs="Times New Roman"/>
          <w:b/>
          <w:sz w:val="24"/>
          <w:lang w:bidi="ar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Supplemental Table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. The Primer sequences for </w:t>
      </w:r>
      <w:r>
        <w:rPr>
          <w:rFonts w:ascii="Times New Roman" w:hAnsi="Times New Roman" w:eastAsia="宋体" w:cs="Times New Roman"/>
          <w:b/>
          <w:sz w:val="24"/>
          <w:lang w:bidi="ar"/>
        </w:rPr>
        <w:t>ChIP-qPCR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6"/>
        <w:tblW w:w="95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3948"/>
        <w:gridCol w:w="40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56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Target genes</w:t>
            </w:r>
          </w:p>
        </w:tc>
        <w:tc>
          <w:tcPr>
            <w:tcW w:w="394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/>
                <w:b/>
                <w:bCs/>
                <w:kern w:val="0"/>
                <w:sz w:val="24"/>
              </w:rPr>
              <w:t xml:space="preserve">Forward primer </w:t>
            </w:r>
          </w:p>
        </w:tc>
        <w:tc>
          <w:tcPr>
            <w:tcW w:w="402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/>
                <w:b/>
                <w:bCs/>
                <w:kern w:val="0"/>
                <w:sz w:val="24"/>
              </w:rPr>
              <w:t xml:space="preserve">Reverse primer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56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iCs/>
                <w:color w:val="FF0000"/>
                <w:kern w:val="0"/>
                <w:sz w:val="24"/>
              </w:rPr>
            </w:pPr>
            <w:r>
              <w:rPr>
                <w:rFonts w:hint="eastAsia" w:ascii="Times New Roman" w:hAnsi="Times New Roman"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CCL5</w:t>
            </w:r>
          </w:p>
        </w:tc>
        <w:tc>
          <w:tcPr>
            <w:tcW w:w="394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-215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)CACCATTGGTGCTTGGTCA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AAGAGG</w:t>
            </w:r>
          </w:p>
        </w:tc>
        <w:tc>
          <w:tcPr>
            <w:tcW w:w="402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+115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)GCAGTAGCAATGAGGATGACAGCGA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iCs/>
                <w:kern w:val="0"/>
                <w:sz w:val="24"/>
              </w:rPr>
            </w:pPr>
            <w:r>
              <w:rPr>
                <w:rFonts w:hint="eastAsia" w:ascii="Times New Roman" w:hAnsi="Times New Roman"/>
                <w:iCs/>
                <w:kern w:val="0"/>
                <w:sz w:val="24"/>
              </w:rPr>
              <w:t>CXCL9</w:t>
            </w:r>
          </w:p>
        </w:tc>
        <w:tc>
          <w:tcPr>
            <w:tcW w:w="3948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(-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219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Times New Roman" w:hAnsi="Times New Roman"/>
                <w:kern w:val="0"/>
                <w:sz w:val="24"/>
              </w:rPr>
              <w:t>TGTGCCAAAGGCTATCAG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TG</w:t>
            </w:r>
          </w:p>
        </w:tc>
        <w:tc>
          <w:tcPr>
            <w:tcW w:w="4021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(-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117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Times New Roman" w:hAnsi="Times New Roman"/>
                <w:kern w:val="0"/>
                <w:sz w:val="24"/>
              </w:rPr>
              <w:t>CAGATCCAAGGGAATTTCT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GC</w:t>
            </w:r>
          </w:p>
        </w:tc>
      </w:tr>
    </w:tbl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widowControl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Supplementa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ry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 Table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. The prognostic significance of clinicopathological characteristics in in iCCA.</w:t>
      </w:r>
    </w:p>
    <w:tbl>
      <w:tblPr>
        <w:tblStyle w:val="6"/>
        <w:tblpPr w:leftFromText="180" w:rightFromText="180" w:vertAnchor="text" w:horzAnchor="page" w:tblpX="906" w:tblpY="274"/>
        <w:tblOverlap w:val="never"/>
        <w:tblW w:w="100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1842"/>
        <w:gridCol w:w="1354"/>
        <w:gridCol w:w="1293"/>
        <w:gridCol w:w="1233"/>
        <w:gridCol w:w="1287"/>
        <w:gridCol w:w="12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</w:rPr>
              <w:t>characteristics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3-year OS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HR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95%CI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Age (years)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&lt;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34.0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0.340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≥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22.4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0.358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29.3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Tumor size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&lt;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2.5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cm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50.1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0.016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≥2.5cm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8" w:name="OLE_LINK4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</w:t>
            </w:r>
            <w:bookmarkEnd w:id="8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9" w:name="OLE_LINK5"/>
            <w:bookmarkStart w:id="10" w:name="OLE_LINK7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</w:t>
            </w:r>
            <w:bookmarkEnd w:id="9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bookmarkStart w:id="11" w:name="OLE_LINK6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bookmarkEnd w:id="10"/>
            <w:bookmarkEnd w:id="11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Differentiation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Well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Moderate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24.2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0.510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Poor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30.8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T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T1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+T2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51.9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0.028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3+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T4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13.2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2" w:name="OLE_LINK8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bookmarkEnd w:id="12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3" w:name="OLE_LINK9"/>
            <w:bookmarkStart w:id="14" w:name="OLE_LINK18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</w:t>
            </w:r>
            <w:bookmarkEnd w:id="13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bookmarkEnd w:id="14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3.05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N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N0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43.5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0.022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N1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N2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11.3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5" w:name="OLE_LINK11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2.14</w:t>
            </w:r>
            <w:bookmarkEnd w:id="15"/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6" w:name="OLE_LINK12"/>
            <w:bookmarkStart w:id="17" w:name="OLE_LINK19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</w:t>
            </w:r>
            <w:bookmarkEnd w:id="16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bookmarkStart w:id="18" w:name="OLE_LINK13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4.10</w:t>
            </w:r>
            <w:bookmarkEnd w:id="17"/>
            <w:bookmarkEnd w:id="18"/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M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M0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29.1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326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M1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TNM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+II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36.4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0.699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II+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IV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Bmi1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4"/>
              </w:rPr>
              <w:t>Low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47.9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0.0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9" w:name="OLE_LINK3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2.68</w:t>
            </w:r>
            <w:bookmarkEnd w:id="19"/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20" w:name="OLE_LINK1"/>
            <w:bookmarkStart w:id="21" w:name="OLE_LINK17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  <w:bookmarkEnd w:id="20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bookmarkStart w:id="22" w:name="OLE_LINK2"/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5.29</w:t>
            </w:r>
            <w:bookmarkEnd w:id="21"/>
            <w:bookmarkEnd w:id="22"/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0.00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</w:tbl>
    <w:p>
      <w:pPr>
        <w:rPr>
          <w:rFonts w:ascii="Times New Roman" w:hAnsi="Times New Roman" w:cs="Times New Roman"/>
          <w:b/>
          <w:bCs/>
          <w:color w:val="000000"/>
          <w:sz w:val="24"/>
        </w:rPr>
      </w:pP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t>Abbreviations: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OS =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>overall survival,</w:t>
      </w:r>
    </w:p>
    <w:p>
      <w:pPr>
        <w:widowControl/>
        <w:jc w:val="left"/>
        <w:rPr>
          <w:rFonts w:hint="eastAsia" w:ascii="Times New Roman" w:hAnsi="Times New Roman" w:cs="Times New Roman" w:eastAsiaTheme="minorEastAsia"/>
          <w:sz w:val="24"/>
          <w:lang w:val="en-US" w:eastAsia="zh-CN"/>
        </w:rPr>
      </w:pPr>
      <w:r>
        <w:rPr>
          <w:rFonts w:ascii="Times New Roman" w:hAnsi="Times New Roman" w:cs="Times New Roman"/>
          <w:sz w:val="24"/>
        </w:rPr>
        <w:t>HR = hazard ratio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</w:p>
    <w:p>
      <w:pPr>
        <w:widowControl/>
        <w:jc w:val="left"/>
        <w:rPr>
          <w:rFonts w:hint="eastAsia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</w:rPr>
        <w:t>CI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= </w:t>
      </w:r>
      <w:r>
        <w:rPr>
          <w:rFonts w:hint="eastAsia" w:ascii="Times New Roman" w:hAnsi="Times New Roman" w:cs="Times New Roman"/>
          <w:sz w:val="24"/>
        </w:rPr>
        <w:t>confidence interval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 Calculated by log-rank test.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/>
          <w:sz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</w:rPr>
        <w:t>Calculated by Cox-regression Hazard model</w:t>
      </w:r>
    </w:p>
    <w:p>
      <w:pPr>
        <w:widowControl/>
        <w:rPr>
          <w:rFonts w:ascii="Times New Roman" w:hAnsi="Times New Roman" w:cs="Times New Roman"/>
          <w:sz w:val="20"/>
          <w:szCs w:val="20"/>
        </w:rPr>
      </w:pPr>
    </w:p>
    <w:p>
      <w:pPr>
        <w:widowControl/>
        <w:rPr>
          <w:rFonts w:ascii="Times New Roman" w:hAnsi="Times New Roman" w:cs="Times New Roman"/>
          <w:sz w:val="20"/>
          <w:szCs w:val="20"/>
        </w:rPr>
      </w:pPr>
    </w:p>
    <w:p>
      <w:pPr>
        <w:widowControl/>
        <w:rPr>
          <w:rFonts w:ascii="Times New Roman" w:hAnsi="Times New Roman" w:cs="Times New Roman"/>
          <w:sz w:val="20"/>
          <w:szCs w:val="20"/>
        </w:rPr>
      </w:pPr>
    </w:p>
    <w:p>
      <w:pPr>
        <w:widowControl/>
        <w:rPr>
          <w:rFonts w:ascii="Times New Roman" w:hAnsi="Times New Roman" w:cs="Times New Roman"/>
          <w:sz w:val="20"/>
          <w:szCs w:val="20"/>
        </w:rPr>
      </w:pPr>
    </w:p>
    <w:p>
      <w:pPr>
        <w:widowControl/>
        <w:rPr>
          <w:rFonts w:ascii="Times New Roman" w:hAnsi="Times New Roman" w:cs="Times New Roman"/>
          <w:sz w:val="20"/>
          <w:szCs w:val="20"/>
        </w:rPr>
      </w:pPr>
    </w:p>
    <w:p>
      <w:pPr>
        <w:widowControl/>
        <w:rPr>
          <w:rFonts w:ascii="Times New Roman" w:hAnsi="Times New Roman" w:cs="Times New Roman"/>
          <w:sz w:val="20"/>
          <w:szCs w:val="20"/>
        </w:rPr>
      </w:pPr>
    </w:p>
    <w:p/>
    <w:p/>
    <w:p/>
    <w:p/>
    <w:p/>
    <w:p/>
    <w:p/>
    <w:p/>
    <w:p/>
    <w:p/>
    <w:p/>
    <w:p/>
    <w:p>
      <w:pPr>
        <w:widowControl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Supplementa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ry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 Table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7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. The prognostic significance of clinicopathological characteristics in in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p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CCA.</w:t>
      </w:r>
    </w:p>
    <w:tbl>
      <w:tblPr>
        <w:tblStyle w:val="6"/>
        <w:tblpPr w:leftFromText="180" w:rightFromText="180" w:vertAnchor="text" w:horzAnchor="page" w:tblpX="906" w:tblpY="274"/>
        <w:tblOverlap w:val="never"/>
        <w:tblW w:w="100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1842"/>
        <w:gridCol w:w="1354"/>
        <w:gridCol w:w="1293"/>
        <w:gridCol w:w="1233"/>
        <w:gridCol w:w="1287"/>
        <w:gridCol w:w="12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</w:rPr>
              <w:t>characteristics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3-year OS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HR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95%CI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Age (years)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&lt;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44.3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≥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34.9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0.824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39.0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Tumor size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&lt;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2.5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cm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47.8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≥2.5cm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39.4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1.544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82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0.85-2.80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0.152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Differentiation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Well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Moderate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34.5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0.539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Poor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36.5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T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T1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+T2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39.0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3+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T4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2.627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1.29-5.36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N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N0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46.9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0.025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N1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N2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1.522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0.84-2.77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M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M0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35.2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0.948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M1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TNM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+II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48.7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II+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IV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Bmi1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4"/>
              </w:rPr>
              <w:t>Low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66.7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＜0.001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16.2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3.778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1.92-7.42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＜0.001</w:t>
            </w:r>
          </w:p>
        </w:tc>
      </w:tr>
    </w:tbl>
    <w:p>
      <w:pPr>
        <w:rPr>
          <w:rFonts w:ascii="Times New Roman" w:hAnsi="Times New Roman" w:cs="Times New Roman"/>
          <w:b/>
          <w:bCs/>
          <w:color w:val="000000"/>
          <w:sz w:val="24"/>
        </w:rPr>
      </w:pP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color w:val="000000"/>
          <w:sz w:val="24"/>
          <w:lang w:val="en-US" w:eastAsia="zh-CN"/>
        </w:rPr>
        <w:t>A</w:t>
      </w:r>
      <w:r>
        <w:rPr>
          <w:rFonts w:ascii="Times New Roman" w:hAnsi="Times New Roman" w:cs="Times New Roman"/>
          <w:b/>
          <w:bCs/>
          <w:color w:val="000000"/>
          <w:sz w:val="24"/>
        </w:rPr>
        <w:t>bbreviations: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OS =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>overall survival,</w:t>
      </w:r>
    </w:p>
    <w:p>
      <w:pPr>
        <w:widowControl/>
        <w:jc w:val="left"/>
        <w:rPr>
          <w:rFonts w:hint="eastAsia" w:ascii="Times New Roman" w:hAnsi="Times New Roman" w:cs="Times New Roman" w:eastAsiaTheme="minorEastAsia"/>
          <w:sz w:val="24"/>
          <w:lang w:val="en-US" w:eastAsia="zh-CN"/>
        </w:rPr>
      </w:pPr>
      <w:r>
        <w:rPr>
          <w:rFonts w:ascii="Times New Roman" w:hAnsi="Times New Roman" w:cs="Times New Roman"/>
          <w:sz w:val="24"/>
        </w:rPr>
        <w:t>HR = hazard ratio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</w:p>
    <w:p>
      <w:pPr>
        <w:widowControl/>
        <w:jc w:val="left"/>
        <w:rPr>
          <w:rFonts w:hint="eastAsia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</w:rPr>
        <w:t>CI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= </w:t>
      </w:r>
      <w:r>
        <w:rPr>
          <w:rFonts w:hint="eastAsia" w:ascii="Times New Roman" w:hAnsi="Times New Roman" w:cs="Times New Roman"/>
          <w:sz w:val="24"/>
        </w:rPr>
        <w:t>confidence interval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 Calculated by log-rank test.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/>
          <w:sz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</w:rPr>
        <w:t>Calculated by Cox-regression Hazard model</w:t>
      </w:r>
    </w:p>
    <w:p>
      <w:pPr>
        <w:widowControl/>
        <w:jc w:val="left"/>
        <w:rPr>
          <w:rFonts w:ascii="Times New Roman" w:hAnsi="Times New Roman" w:cs="Times New Roman"/>
          <w:szCs w:val="21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Supplementa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ry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 Table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8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. The prognostic significance of clinicopathological characteristics in in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d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CCA.</w:t>
      </w:r>
    </w:p>
    <w:tbl>
      <w:tblPr>
        <w:tblStyle w:val="6"/>
        <w:tblpPr w:leftFromText="180" w:rightFromText="180" w:vertAnchor="text" w:horzAnchor="page" w:tblpX="906" w:tblpY="274"/>
        <w:tblOverlap w:val="never"/>
        <w:tblW w:w="100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1842"/>
        <w:gridCol w:w="1354"/>
        <w:gridCol w:w="1293"/>
        <w:gridCol w:w="1233"/>
        <w:gridCol w:w="1287"/>
        <w:gridCol w:w="12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</w:rPr>
              <w:t>characteristics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3-year OS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20" w:lineRule="auto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vertAlign w:val="superscript"/>
              </w:rPr>
              <w:t>a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HR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95%CI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vertAlign w:val="superscript"/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Age (years)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&lt;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0.901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≥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65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25.3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33.9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0.709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Tumor size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&lt;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2.5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cm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30.6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0.013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≥2.5cm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bookmarkStart w:id="23" w:name="OLE_LINK33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1.</w:t>
            </w:r>
            <w:bookmarkEnd w:id="23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74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/>
              </w:rPr>
            </w:pPr>
            <w:bookmarkStart w:id="24" w:name="OLE_LINK34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0.99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3.</w:t>
            </w:r>
            <w:bookmarkEnd w:id="24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0.053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Differentiation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Well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Moderate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36.8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4"/>
                <w:lang w:val="en-US" w:eastAsia="zh-CN"/>
              </w:rPr>
              <w:t>0.015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Poor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16.5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bookmarkStart w:id="25" w:name="OLE_LINK35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1.</w:t>
            </w:r>
            <w:bookmarkEnd w:id="25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bookmarkStart w:id="26" w:name="OLE_LINK36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1.11-3.</w:t>
            </w:r>
            <w:bookmarkEnd w:id="26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4"/>
                <w:lang w:val="en-US" w:eastAsia="zh-CN"/>
              </w:rPr>
              <w:t>0.020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T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T1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+T2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44.6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4"/>
                <w:lang w:val="en-US" w:eastAsia="zh-CN"/>
              </w:rPr>
              <w:t>0.008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T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3+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T4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14.2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bookmarkStart w:id="27" w:name="OLE_LINK37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1.</w:t>
            </w:r>
            <w:bookmarkEnd w:id="27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43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bookmarkStart w:id="28" w:name="OLE_LINK38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72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2.</w:t>
            </w:r>
            <w:bookmarkEnd w:id="28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82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304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N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N0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28.7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0.112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N1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N2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17.5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lang w:val="en-US" w:eastAsia="zh-CN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lang w:val="en-US" w:eastAsia="zh-CN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M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M0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6.3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4"/>
              </w:rPr>
              <w:t>0.0</w:t>
            </w:r>
            <w:r>
              <w:rPr>
                <w:rFonts w:hint="eastAsia" w:ascii="Times New Roman" w:hAnsi="Times New Roman" w:cs="Times New Roman"/>
                <w:b w:val="0"/>
                <w:bCs w:val="0"/>
                <w:kern w:val="0"/>
                <w:sz w:val="24"/>
                <w:lang w:val="en-US" w:eastAsia="zh-CN"/>
              </w:rPr>
              <w:t>89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M1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TNM stage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+II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5.9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4"/>
              </w:rPr>
              <w:t>-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II+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  <w:t>IV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</w:rPr>
              <w:t>-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</w:rPr>
              <w:t>-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Bmi1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4"/>
              </w:rPr>
              <w:t>Low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42.8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4"/>
                <w:lang w:val="en-US" w:eastAsia="zh-CN"/>
              </w:rPr>
              <w:t>0.002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</w:rPr>
              <w:t>1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4" w:type="dxa"/>
            <w:vMerge w:val="continue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lang w:val="en-US" w:eastAsia="zh-CN"/>
              </w:rPr>
              <w:t>12.6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bookmarkStart w:id="29" w:name="OLE_LINK31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2.</w:t>
            </w:r>
            <w:bookmarkEnd w:id="29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</w:pPr>
            <w:bookmarkStart w:id="30" w:name="OLE_LINK32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1.18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</w:rPr>
              <w:t>-</w:t>
            </w:r>
            <w:bookmarkEnd w:id="30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3.89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4"/>
                <w:lang w:val="en-US" w:eastAsia="zh-CN"/>
              </w:rPr>
              <w:t>0.013</w:t>
            </w:r>
          </w:p>
        </w:tc>
      </w:tr>
    </w:tbl>
    <w:p>
      <w:pPr>
        <w:rPr>
          <w:rFonts w:ascii="Times New Roman" w:hAnsi="Times New Roman" w:cs="Times New Roman"/>
          <w:b/>
          <w:bCs/>
          <w:color w:val="000000"/>
          <w:sz w:val="24"/>
        </w:rPr>
      </w:pP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t>Abbreviations: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OS =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>overall survival,</w:t>
      </w:r>
    </w:p>
    <w:p>
      <w:pPr>
        <w:widowControl/>
        <w:jc w:val="left"/>
        <w:rPr>
          <w:rFonts w:hint="eastAsia" w:ascii="Times New Roman" w:hAnsi="Times New Roman" w:cs="Times New Roman" w:eastAsiaTheme="minorEastAsia"/>
          <w:sz w:val="24"/>
          <w:lang w:val="en-US" w:eastAsia="zh-CN"/>
        </w:rPr>
      </w:pPr>
      <w:r>
        <w:rPr>
          <w:rFonts w:ascii="Times New Roman" w:hAnsi="Times New Roman" w:cs="Times New Roman"/>
          <w:sz w:val="24"/>
        </w:rPr>
        <w:t>HR = hazard ratio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</w:p>
    <w:p>
      <w:pPr>
        <w:widowControl/>
        <w:jc w:val="left"/>
        <w:rPr>
          <w:rFonts w:hint="eastAsia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</w:rPr>
        <w:t>CI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= </w:t>
      </w:r>
      <w:r>
        <w:rPr>
          <w:rFonts w:hint="eastAsia" w:ascii="Times New Roman" w:hAnsi="Times New Roman" w:cs="Times New Roman"/>
          <w:sz w:val="24"/>
        </w:rPr>
        <w:t>confidence interval</w:t>
      </w:r>
      <w:r>
        <w:rPr>
          <w:rFonts w:hint="eastAsia" w:ascii="Times New Roman" w:hAnsi="Times New Roman" w:cs="Times New Roman"/>
          <w:sz w:val="24"/>
          <w:lang w:val="en-US" w:eastAsia="zh-CN"/>
        </w:rPr>
        <w:t>,</w: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 Calculated by log-rank test.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i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/>
          <w:sz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</w:rPr>
        <w:t>Calculated by Cox-regression Hazard model</w:t>
      </w:r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  <w:bookmarkStart w:id="31" w:name="_GoBack"/>
      <w:bookmarkEnd w:id="31"/>
    </w:p>
    <w:p>
      <w:pPr>
        <w:spacing w:line="360" w:lineRule="auto"/>
        <w:ind w:firstLine="241" w:firstLineChars="100"/>
        <w:jc w:val="center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p>
      <w:pPr>
        <w:widowControl/>
        <w:spacing w:line="360" w:lineRule="auto"/>
        <w:rPr>
          <w:rFonts w:ascii="Times New Roman" w:hAnsi="Times New Roman"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rPr>
          <w:rFonts w:ascii="Times New Roman" w:hAnsi="Times New Roman"/>
          <w:i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bCs/>
          <w:sz w:val="24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U0MTYxNDIwsDQzsDRV0lEKTi0uzszPAykwrAUAzjlZwywAAAA="/>
  </w:docVars>
  <w:rsids>
    <w:rsidRoot w:val="3A1E79E3"/>
    <w:rsid w:val="00037FD7"/>
    <w:rsid w:val="00081E56"/>
    <w:rsid w:val="000B4662"/>
    <w:rsid w:val="000E1C6C"/>
    <w:rsid w:val="001478C4"/>
    <w:rsid w:val="00182791"/>
    <w:rsid w:val="001A414D"/>
    <w:rsid w:val="00231A1D"/>
    <w:rsid w:val="002446AE"/>
    <w:rsid w:val="00245A16"/>
    <w:rsid w:val="002663C6"/>
    <w:rsid w:val="00276674"/>
    <w:rsid w:val="002C79FC"/>
    <w:rsid w:val="00312F91"/>
    <w:rsid w:val="003A31D2"/>
    <w:rsid w:val="003B6B7B"/>
    <w:rsid w:val="004378E6"/>
    <w:rsid w:val="004E0EF0"/>
    <w:rsid w:val="00591DF8"/>
    <w:rsid w:val="0064354B"/>
    <w:rsid w:val="0070077A"/>
    <w:rsid w:val="007215F6"/>
    <w:rsid w:val="00775271"/>
    <w:rsid w:val="00802FCF"/>
    <w:rsid w:val="00864E01"/>
    <w:rsid w:val="008A2665"/>
    <w:rsid w:val="008C65C9"/>
    <w:rsid w:val="00930134"/>
    <w:rsid w:val="0094520B"/>
    <w:rsid w:val="009A168D"/>
    <w:rsid w:val="009D1DCF"/>
    <w:rsid w:val="00AA33ED"/>
    <w:rsid w:val="00AC2B51"/>
    <w:rsid w:val="00AF162C"/>
    <w:rsid w:val="00B12C01"/>
    <w:rsid w:val="00B27565"/>
    <w:rsid w:val="00BA45B3"/>
    <w:rsid w:val="00BE5F8B"/>
    <w:rsid w:val="00C1053D"/>
    <w:rsid w:val="00CD7ECE"/>
    <w:rsid w:val="00D355FA"/>
    <w:rsid w:val="00D77387"/>
    <w:rsid w:val="00DA0252"/>
    <w:rsid w:val="00DE5025"/>
    <w:rsid w:val="00EA158F"/>
    <w:rsid w:val="00EA75BD"/>
    <w:rsid w:val="00EB4735"/>
    <w:rsid w:val="00EC6662"/>
    <w:rsid w:val="00FC336A"/>
    <w:rsid w:val="00FD1DCD"/>
    <w:rsid w:val="0137695D"/>
    <w:rsid w:val="01437DB3"/>
    <w:rsid w:val="019235A9"/>
    <w:rsid w:val="01F132A5"/>
    <w:rsid w:val="027F2BF1"/>
    <w:rsid w:val="041E76F2"/>
    <w:rsid w:val="054D6D38"/>
    <w:rsid w:val="05787E56"/>
    <w:rsid w:val="063D7B78"/>
    <w:rsid w:val="09EC319A"/>
    <w:rsid w:val="0AC63BD9"/>
    <w:rsid w:val="0AC83438"/>
    <w:rsid w:val="0C162118"/>
    <w:rsid w:val="0D444B80"/>
    <w:rsid w:val="0DB72444"/>
    <w:rsid w:val="0DD23A06"/>
    <w:rsid w:val="0E093A2A"/>
    <w:rsid w:val="114830A3"/>
    <w:rsid w:val="124B5371"/>
    <w:rsid w:val="127963BF"/>
    <w:rsid w:val="12A22F6F"/>
    <w:rsid w:val="137A5521"/>
    <w:rsid w:val="14C8265D"/>
    <w:rsid w:val="14D20EA3"/>
    <w:rsid w:val="153D6B91"/>
    <w:rsid w:val="15DA0B6C"/>
    <w:rsid w:val="160B4B80"/>
    <w:rsid w:val="16866AF4"/>
    <w:rsid w:val="17687A75"/>
    <w:rsid w:val="1840412D"/>
    <w:rsid w:val="187F6D29"/>
    <w:rsid w:val="19BC095E"/>
    <w:rsid w:val="1AC71042"/>
    <w:rsid w:val="1B99077C"/>
    <w:rsid w:val="1BB401F8"/>
    <w:rsid w:val="1E253927"/>
    <w:rsid w:val="1EEF4B0D"/>
    <w:rsid w:val="1FF45A6D"/>
    <w:rsid w:val="233323CF"/>
    <w:rsid w:val="23DF1993"/>
    <w:rsid w:val="249F3D97"/>
    <w:rsid w:val="2560231B"/>
    <w:rsid w:val="261C7586"/>
    <w:rsid w:val="2807000A"/>
    <w:rsid w:val="285A2D09"/>
    <w:rsid w:val="28E05F57"/>
    <w:rsid w:val="28F00241"/>
    <w:rsid w:val="28F51E76"/>
    <w:rsid w:val="29334050"/>
    <w:rsid w:val="294C1041"/>
    <w:rsid w:val="29502520"/>
    <w:rsid w:val="2AA41740"/>
    <w:rsid w:val="2B2D0538"/>
    <w:rsid w:val="2D1F110C"/>
    <w:rsid w:val="2EE447F1"/>
    <w:rsid w:val="2F3857FB"/>
    <w:rsid w:val="2FE25A5B"/>
    <w:rsid w:val="30C65AD0"/>
    <w:rsid w:val="30FD7F6B"/>
    <w:rsid w:val="316B0603"/>
    <w:rsid w:val="33294C27"/>
    <w:rsid w:val="35AD111E"/>
    <w:rsid w:val="35D052B8"/>
    <w:rsid w:val="365D5FD2"/>
    <w:rsid w:val="368C1986"/>
    <w:rsid w:val="378F5106"/>
    <w:rsid w:val="380D35E0"/>
    <w:rsid w:val="38283BD5"/>
    <w:rsid w:val="38FC18C0"/>
    <w:rsid w:val="39F8574C"/>
    <w:rsid w:val="3A1E79E3"/>
    <w:rsid w:val="3A867F84"/>
    <w:rsid w:val="3AD45FE9"/>
    <w:rsid w:val="3BFE7149"/>
    <w:rsid w:val="3C1D7989"/>
    <w:rsid w:val="3CD2045C"/>
    <w:rsid w:val="3E0466F3"/>
    <w:rsid w:val="3EDB2CE7"/>
    <w:rsid w:val="3FC32FCD"/>
    <w:rsid w:val="40D57144"/>
    <w:rsid w:val="446D41AD"/>
    <w:rsid w:val="469F1EAD"/>
    <w:rsid w:val="47396840"/>
    <w:rsid w:val="47400A16"/>
    <w:rsid w:val="47A54E95"/>
    <w:rsid w:val="48241381"/>
    <w:rsid w:val="48451226"/>
    <w:rsid w:val="484B3119"/>
    <w:rsid w:val="48752679"/>
    <w:rsid w:val="48A8773C"/>
    <w:rsid w:val="49030CF4"/>
    <w:rsid w:val="490F7449"/>
    <w:rsid w:val="498402D6"/>
    <w:rsid w:val="4B0D7C42"/>
    <w:rsid w:val="4C196BFC"/>
    <w:rsid w:val="4D154D53"/>
    <w:rsid w:val="4F5F2C26"/>
    <w:rsid w:val="4F7E3F63"/>
    <w:rsid w:val="50427985"/>
    <w:rsid w:val="51193B80"/>
    <w:rsid w:val="517D082D"/>
    <w:rsid w:val="51D92DD2"/>
    <w:rsid w:val="53117449"/>
    <w:rsid w:val="54613836"/>
    <w:rsid w:val="547D7B84"/>
    <w:rsid w:val="554B0F29"/>
    <w:rsid w:val="558B61D1"/>
    <w:rsid w:val="561D18B2"/>
    <w:rsid w:val="561D19DF"/>
    <w:rsid w:val="567F52B9"/>
    <w:rsid w:val="579C664D"/>
    <w:rsid w:val="5C635368"/>
    <w:rsid w:val="5CC46EFE"/>
    <w:rsid w:val="5E2B0058"/>
    <w:rsid w:val="5E3872C1"/>
    <w:rsid w:val="5E902FA6"/>
    <w:rsid w:val="60161DA4"/>
    <w:rsid w:val="607F2AED"/>
    <w:rsid w:val="60FB4F20"/>
    <w:rsid w:val="62406D3D"/>
    <w:rsid w:val="631D470B"/>
    <w:rsid w:val="64757787"/>
    <w:rsid w:val="66FB2FB8"/>
    <w:rsid w:val="67E0100B"/>
    <w:rsid w:val="69EB4EE4"/>
    <w:rsid w:val="6A262F88"/>
    <w:rsid w:val="6BB503AB"/>
    <w:rsid w:val="6C0B2F2E"/>
    <w:rsid w:val="6C67516A"/>
    <w:rsid w:val="6D124509"/>
    <w:rsid w:val="6DAA2C25"/>
    <w:rsid w:val="6E026C2B"/>
    <w:rsid w:val="70462679"/>
    <w:rsid w:val="70A73E37"/>
    <w:rsid w:val="70D84EB9"/>
    <w:rsid w:val="71285241"/>
    <w:rsid w:val="717131D4"/>
    <w:rsid w:val="718A0248"/>
    <w:rsid w:val="73CB6CD2"/>
    <w:rsid w:val="73CE1A0F"/>
    <w:rsid w:val="76E86492"/>
    <w:rsid w:val="7832178E"/>
    <w:rsid w:val="79724A33"/>
    <w:rsid w:val="798D2268"/>
    <w:rsid w:val="7C43529E"/>
    <w:rsid w:val="7D8763E4"/>
    <w:rsid w:val="7DDA1993"/>
    <w:rsid w:val="7E6A630A"/>
    <w:rsid w:val="7E6F6DEE"/>
    <w:rsid w:val="7FA05EAE"/>
    <w:rsid w:val="7FA1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unhideWhenUsed/>
    <w:qFormat/>
    <w:uiPriority w:val="0"/>
    <w:rPr>
      <w:sz w:val="21"/>
      <w:szCs w:val="21"/>
    </w:rPr>
  </w:style>
  <w:style w:type="character" w:customStyle="1" w:styleId="9">
    <w:name w:val="批注框文本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字符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479</Words>
  <Characters>2733</Characters>
  <Lines>22</Lines>
  <Paragraphs>6</Paragraphs>
  <TotalTime>0</TotalTime>
  <ScaleCrop>false</ScaleCrop>
  <LinksUpToDate>false</LinksUpToDate>
  <CharactersWithSpaces>3206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2021-12-28T05:37:00Z</dcterms:created>
  <dc:creator>Liu Zengli</dc:creator>
  <cp:lastModifiedBy>Liu Zengli</cp:lastModifiedBy>
  <dcterms:modified xsi:type="dcterms:W3CDTF">2021-12-30T07:10:56Z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9BCEF947204F47159000B451F14737EE</vt:lpwstr>
  </property>
</Properties>
</file>