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EC1" w:rsidRDefault="00DF4EC1" w:rsidP="00DF4EC1">
      <w:r>
        <w:t>SUPPLEMENTARY</w:t>
      </w:r>
    </w:p>
    <w:p w:rsidR="00DF4EC1" w:rsidRDefault="00FE5CBA" w:rsidP="00DF4EC1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>
        <w:rPr>
          <w:i/>
          <w:color w:val="44546A"/>
          <w:sz w:val="18"/>
          <w:szCs w:val="18"/>
        </w:rPr>
        <w:t>Supplementary t</w:t>
      </w:r>
      <w:r w:rsidR="00DF4EC1">
        <w:rPr>
          <w:i/>
          <w:color w:val="44546A"/>
          <w:sz w:val="18"/>
          <w:szCs w:val="18"/>
        </w:rPr>
        <w:t xml:space="preserve">able </w:t>
      </w:r>
      <w:r>
        <w:rPr>
          <w:i/>
          <w:color w:val="44546A"/>
          <w:sz w:val="18"/>
          <w:szCs w:val="18"/>
        </w:rPr>
        <w:t>1</w:t>
      </w:r>
      <w:r w:rsidR="00DF4EC1">
        <w:rPr>
          <w:i/>
          <w:color w:val="44546A"/>
          <w:sz w:val="18"/>
          <w:szCs w:val="18"/>
        </w:rPr>
        <w:t>: The effect of diabetes on follow-up eGFR (ml/min/1.73m</w:t>
      </w:r>
      <w:r w:rsidR="00DF4EC1">
        <w:rPr>
          <w:i/>
          <w:color w:val="44546A"/>
          <w:sz w:val="18"/>
          <w:szCs w:val="18"/>
          <w:vertAlign w:val="superscript"/>
        </w:rPr>
        <w:t>2</w:t>
      </w:r>
      <w:r w:rsidR="00DF4EC1">
        <w:rPr>
          <w:i/>
          <w:color w:val="44546A"/>
          <w:sz w:val="18"/>
          <w:szCs w:val="18"/>
        </w:rPr>
        <w:t>) adjusted for baseline eGFR using linear regression with different models</w:t>
      </w:r>
    </w:p>
    <w:tbl>
      <w:tblPr>
        <w:tblStyle w:val="Tabel-Gitter"/>
        <w:tblW w:w="9785" w:type="dxa"/>
        <w:tblLayout w:type="fixed"/>
        <w:tblLook w:val="0400" w:firstRow="0" w:lastRow="0" w:firstColumn="0" w:lastColumn="0" w:noHBand="0" w:noVBand="1"/>
      </w:tblPr>
      <w:tblGrid>
        <w:gridCol w:w="1630"/>
        <w:gridCol w:w="1250"/>
        <w:gridCol w:w="785"/>
        <w:gridCol w:w="1257"/>
        <w:gridCol w:w="930"/>
        <w:gridCol w:w="1050"/>
        <w:gridCol w:w="775"/>
        <w:gridCol w:w="1258"/>
        <w:gridCol w:w="850"/>
      </w:tblGrid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Covariates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Crude effect</w:t>
            </w: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1</w:t>
            </w: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2 OR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3 OR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Diabetes vs. no diabetes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-4.83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(-8.66,-1,01)</w:t>
            </w: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0.01</w:t>
            </w: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-0.40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(-3.56,2.77)</w:t>
            </w: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</w:t>
            </w: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-0.71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(-3.71,2.29)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-0.36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(-3.46,2.75)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</w:tr>
      <w:tr w:rsidR="00DF4EC1" w:rsidTr="00695DC9">
        <w:tc>
          <w:tcPr>
            <w:tcW w:w="1630" w:type="dxa"/>
          </w:tcPr>
          <w:p w:rsidR="00DF4EC1" w:rsidRPr="00A135A6" w:rsidRDefault="00DF4EC1" w:rsidP="00695DC9">
            <w:pPr>
              <w:rPr>
                <w:b/>
                <w:sz w:val="20"/>
                <w:szCs w:val="20"/>
                <w:lang w:val="da-DK"/>
              </w:rPr>
            </w:pPr>
            <w:r w:rsidRPr="00A135A6">
              <w:rPr>
                <w:b/>
                <w:sz w:val="20"/>
                <w:szCs w:val="20"/>
                <w:lang w:val="da-DK"/>
              </w:rPr>
              <w:t>Baseline eGFR (ml/min/1.73m</w:t>
            </w:r>
            <w:r w:rsidRPr="00A135A6">
              <w:rPr>
                <w:b/>
                <w:sz w:val="20"/>
                <w:szCs w:val="20"/>
                <w:vertAlign w:val="superscript"/>
                <w:lang w:val="da-DK"/>
              </w:rPr>
              <w:t>2</w:t>
            </w:r>
            <w:r w:rsidRPr="00A135A6">
              <w:rPr>
                <w:b/>
                <w:sz w:val="20"/>
                <w:szCs w:val="20"/>
                <w:lang w:val="da-DK"/>
              </w:rPr>
              <w:t>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(0.37,0.47)</w:t>
            </w: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  (0.23,0.32)</w:t>
            </w: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 (0.30,0.39)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(0.30,0.38)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Male vs. female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1.20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(-0.33,2.72)</w:t>
            </w: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(-0.45,2.50)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1.09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(-0.40,2.59)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 (years)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-0.68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(-0.74,-0.62)</w:t>
            </w: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-0.62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(-0.69,-0.56)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-0.62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(-0.68,-0.56)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 (kg/m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-0.06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(-0.22,0.11)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-0.05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(-0.22,0.12)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Systolic blood pressure (mmHg)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-0.03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(-0.09,0.03)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-0.02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(-0.08,0.03)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Diastolic blood pressure (mmHg)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(-0.01,0.16)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0.07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0.057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(-0.03,0.14)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LDL (mmol/l)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(0.24,1.59)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0.01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(0.20,1.58)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0.01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 (mmol/l)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-0.15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(-1.46,1.15)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-0.27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(-1.58,1.05)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Smoking vs. no smoking 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(-0.69,2.29)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0.69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(-0.86,2.21)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between baseline to follow-up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-1.68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(-1.95,-1.40)</w:t>
            </w: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-1.65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(-1.94,-1.35)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 vs (HT+WT)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0.12 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(-0.39,0.63)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</w:tr>
      <w:tr w:rsidR="00DF4EC1" w:rsidTr="00695DC9">
        <w:tc>
          <w:tcPr>
            <w:tcW w:w="1630" w:type="dxa"/>
          </w:tcPr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Inuit genetic admixture</w:t>
            </w:r>
          </w:p>
          <w:p w:rsidR="00DF4EC1" w:rsidRDefault="00DF4EC1" w:rsidP="00695DC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(per % point increase) </w:t>
            </w:r>
          </w:p>
        </w:tc>
        <w:tc>
          <w:tcPr>
            <w:tcW w:w="12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7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</w:t>
            </w:r>
          </w:p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(-3.34,3.94)</w:t>
            </w:r>
          </w:p>
        </w:tc>
        <w:tc>
          <w:tcPr>
            <w:tcW w:w="850" w:type="dxa"/>
          </w:tcPr>
          <w:p w:rsidR="00DF4EC1" w:rsidRDefault="00DF4EC1" w:rsidP="00695D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</w:t>
            </w:r>
          </w:p>
        </w:tc>
      </w:tr>
    </w:tbl>
    <w:p w:rsidR="00DF4EC1" w:rsidRDefault="00DF4EC1" w:rsidP="00DF4EC1">
      <w:pPr>
        <w:spacing w:line="240" w:lineRule="auto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Effects are per one unit increase in covariates (CI) and p values are considered significant below 5%. The crude model shows the effect of diabetes on eGFR at follow-up adjusted for baseline eGFR. Model 1: adjusted for age and sex. Model 2: model 1 + BMI, systolic and diastolic blood pressure, LDL cholesterol, TG, smoking and years between baseline and follow-up. Model 3: model 2 + the TBC1D4 variant and Inuit genetic admixture.</w:t>
      </w:r>
    </w:p>
    <w:p w:rsidR="00B508C9" w:rsidRDefault="00FE5CBA"/>
    <w:p w:rsidR="00BF1B5F" w:rsidRPr="00040D35" w:rsidRDefault="00BF1B5F" w:rsidP="00BF1B5F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>SUPPLEMENTARY</w:t>
      </w:r>
    </w:p>
    <w:p w:rsidR="00BF1B5F" w:rsidRDefault="00FE5CBA" w:rsidP="00BF1B5F">
      <w:pPr>
        <w:keepNext/>
        <w:pBdr>
          <w:top w:val="nil"/>
          <w:left w:val="nil"/>
          <w:bottom w:val="nil"/>
          <w:right w:val="nil"/>
          <w:between w:val="nil"/>
        </w:pBdr>
        <w:spacing w:after="200" w:line="240" w:lineRule="auto"/>
        <w:rPr>
          <w:i/>
          <w:color w:val="44546A"/>
          <w:sz w:val="18"/>
          <w:szCs w:val="18"/>
        </w:rPr>
      </w:pPr>
      <w:r>
        <w:rPr>
          <w:i/>
          <w:color w:val="44546A"/>
          <w:sz w:val="18"/>
          <w:szCs w:val="18"/>
        </w:rPr>
        <w:t>Supplementary t</w:t>
      </w:r>
      <w:r w:rsidR="00BF1B5F">
        <w:rPr>
          <w:i/>
          <w:color w:val="44546A"/>
          <w:sz w:val="18"/>
          <w:szCs w:val="18"/>
        </w:rPr>
        <w:t xml:space="preserve">able </w:t>
      </w:r>
      <w:r>
        <w:rPr>
          <w:i/>
          <w:color w:val="44546A"/>
          <w:sz w:val="18"/>
          <w:szCs w:val="18"/>
        </w:rPr>
        <w:t>2</w:t>
      </w:r>
      <w:bookmarkStart w:id="0" w:name="_GoBack"/>
      <w:bookmarkEnd w:id="0"/>
      <w:r w:rsidR="00BF1B5F">
        <w:rPr>
          <w:i/>
          <w:color w:val="44546A"/>
          <w:sz w:val="18"/>
          <w:szCs w:val="18"/>
        </w:rPr>
        <w:t>: The effect of diabetes follow-up UACR adjusted for baseline UACR using linear regression, expressed as a proportion change in UACR at follow-up</w:t>
      </w:r>
    </w:p>
    <w:tbl>
      <w:tblPr>
        <w:tblStyle w:val="Tabel-Gitter"/>
        <w:tblW w:w="9628" w:type="dxa"/>
        <w:tblLayout w:type="fixed"/>
        <w:tblLook w:val="0400" w:firstRow="0" w:lastRow="0" w:firstColumn="0" w:lastColumn="0" w:noHBand="0" w:noVBand="1"/>
      </w:tblPr>
      <w:tblGrid>
        <w:gridCol w:w="1595"/>
        <w:gridCol w:w="1097"/>
        <w:gridCol w:w="794"/>
        <w:gridCol w:w="1255"/>
        <w:gridCol w:w="775"/>
        <w:gridCol w:w="1292"/>
        <w:gridCol w:w="775"/>
        <w:gridCol w:w="1270"/>
        <w:gridCol w:w="775"/>
      </w:tblGrid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Covariates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Crude effect</w:t>
            </w: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1 proportion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2 proportion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Model 3 proportion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 value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Diabetes vs. no diabetes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(1.0,1,27)</w:t>
            </w: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(0.97,1.22)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(0.95,1.20)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(0.95,1.22)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Baseline UACR (proportion)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1.79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(1.65,1.95)</w:t>
            </w: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1.70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(1.57,1.85)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(1.57,1.87)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1.70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(1.56,1.86)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Male vs. female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(0.92,1.03)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</w:t>
            </w: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(0.91,1.02)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(0.91,1.03)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 (years)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(1.01,1.01)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(1.01,1.01)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(1.01,1.01)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BMI (kg/m</w:t>
            </w:r>
            <w:r>
              <w:rPr>
                <w:b/>
                <w:sz w:val="20"/>
                <w:szCs w:val="20"/>
                <w:vertAlign w:val="superscript"/>
              </w:rPr>
              <w:t>2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Systolic blood pressure (mmHg)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(1.00,1.00)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Diastolic blood pressure (mmHg)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0.83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(1.00,1.00)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LDL (mmol/l)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(0.95,1.00)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(0.95,1.00)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TG (mmol/l)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(0.96,1.07)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(0.97,1.08)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Smoking vs. no smoking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1.06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(1.00,1.13)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(0.98,1.12)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between baseline to follow-up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(1.01,1.03)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(1.01,1.03)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&lt;0.001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 vs (HT+WT)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(0.98,1.02)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0.78</w:t>
            </w:r>
          </w:p>
        </w:tc>
      </w:tr>
      <w:tr w:rsidR="00BF1B5F" w:rsidTr="00193606">
        <w:tc>
          <w:tcPr>
            <w:tcW w:w="1595" w:type="dxa"/>
          </w:tcPr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Inuit genetic admixture</w:t>
            </w:r>
          </w:p>
          <w:p w:rsidR="00BF1B5F" w:rsidRDefault="00BF1B5F" w:rsidP="0019360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(per % point increase) </w:t>
            </w:r>
          </w:p>
        </w:tc>
        <w:tc>
          <w:tcPr>
            <w:tcW w:w="1097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4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5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0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</w:t>
            </w:r>
          </w:p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(0.97,1.31)</w:t>
            </w:r>
          </w:p>
        </w:tc>
        <w:tc>
          <w:tcPr>
            <w:tcW w:w="775" w:type="dxa"/>
          </w:tcPr>
          <w:p w:rsidR="00BF1B5F" w:rsidRDefault="00BF1B5F" w:rsidP="00193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</w:t>
            </w:r>
          </w:p>
        </w:tc>
      </w:tr>
    </w:tbl>
    <w:p w:rsidR="00BF1B5F" w:rsidRDefault="00BF1B5F" w:rsidP="00BF1B5F">
      <w:pPr>
        <w:spacing w:line="240" w:lineRule="auto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UACR at baseline and follow-up were log10 transformed to be better described with a normal distribution. Effect estimates were then exponentiated and are presented as proportion change in UACR per unit increase in covariates (CI). P values are considered significant below 5%. The crude model shows the effect of diabetes on UACR adjusted for baseline UACR. Model 1: adjusted for age and sex. Model 2: model 1 + BMI, systolic and diastolic blood pressure, LDL cholesterol, TG, smoking and years between baseline and follow-up. Model 3: model 2 + the TBC1D4 variant and genetic admixture.</w:t>
      </w:r>
    </w:p>
    <w:p w:rsidR="00BF1B5F" w:rsidRDefault="00BF1B5F" w:rsidP="00BF1B5F"/>
    <w:p w:rsidR="00BF1B5F" w:rsidRDefault="00BF1B5F"/>
    <w:sectPr w:rsidR="00BF1B5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EC1"/>
    <w:rsid w:val="00493DA4"/>
    <w:rsid w:val="007B2D2D"/>
    <w:rsid w:val="009C5FF3"/>
    <w:rsid w:val="00BF1B5F"/>
    <w:rsid w:val="00DF4EC1"/>
    <w:rsid w:val="00FE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E53CF"/>
  <w15:chartTrackingRefBased/>
  <w15:docId w15:val="{0F0E85AB-1A9F-4A52-A20D-8B622000F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EC1"/>
    <w:rPr>
      <w:rFonts w:ascii="Calibri" w:eastAsia="Calibri" w:hAnsi="Calibri" w:cs="Calibri"/>
      <w:lang w:val="en-US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DF4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3188</Characters>
  <Application>Microsoft Office Word</Application>
  <DocSecurity>0</DocSecurity>
  <Lines>26</Lines>
  <Paragraphs>7</Paragraphs>
  <ScaleCrop>false</ScaleCrop>
  <Company>Sundhedsdatastyrelsen</Company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Overvad</dc:creator>
  <cp:keywords/>
  <dc:description/>
  <cp:lastModifiedBy>Maria Overvad</cp:lastModifiedBy>
  <cp:revision>4</cp:revision>
  <dcterms:created xsi:type="dcterms:W3CDTF">2021-12-29T19:35:00Z</dcterms:created>
  <dcterms:modified xsi:type="dcterms:W3CDTF">2021-12-31T13:38:00Z</dcterms:modified>
</cp:coreProperties>
</file>