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61C" w:rsidRPr="000D3EB7" w:rsidRDefault="0007461C" w:rsidP="0007461C">
      <w:pPr>
        <w:spacing w:after="0"/>
        <w:rPr>
          <w:rFonts w:ascii="Times New Roman" w:hAnsi="Times New Roman" w:cs="Times New Roman"/>
          <w:sz w:val="14"/>
          <w:szCs w:val="18"/>
          <w:lang w:val="en-GB"/>
        </w:rPr>
      </w:pPr>
      <w:bookmarkStart w:id="0" w:name="_GoBack"/>
      <w:bookmarkEnd w:id="0"/>
    </w:p>
    <w:p w:rsidR="006D0B15" w:rsidRPr="000D3EB7" w:rsidRDefault="00C06648" w:rsidP="0007461C">
      <w:pPr>
        <w:spacing w:after="0"/>
        <w:rPr>
          <w:rFonts w:ascii="Times New Roman" w:hAnsi="Times New Roman" w:cs="Times New Roman"/>
          <w:sz w:val="18"/>
          <w:lang w:val="en-US"/>
        </w:rPr>
      </w:pPr>
      <w:r w:rsidRPr="000D3EB7">
        <w:rPr>
          <w:rFonts w:ascii="Times New Roman" w:hAnsi="Times New Roman" w:cs="Times New Roman"/>
          <w:sz w:val="18"/>
          <w:lang w:val="en-US"/>
        </w:rPr>
        <w:t>Figure 1</w:t>
      </w:r>
      <w:r w:rsidR="006D0B15" w:rsidRPr="000D3EB7">
        <w:rPr>
          <w:rFonts w:ascii="Times New Roman" w:hAnsi="Times New Roman" w:cs="Times New Roman"/>
          <w:sz w:val="18"/>
          <w:lang w:val="en-US"/>
        </w:rPr>
        <w:t xml:space="preserve">S </w:t>
      </w:r>
      <w:r w:rsidR="00A5728A" w:rsidRPr="000D3EB7">
        <w:rPr>
          <w:rFonts w:ascii="Times New Roman" w:hAnsi="Times New Roman" w:cs="Times New Roman"/>
          <w:sz w:val="18"/>
          <w:lang w:val="en-US"/>
        </w:rPr>
        <w:t>L</w:t>
      </w:r>
      <w:r w:rsidR="006D0B15" w:rsidRPr="000D3EB7">
        <w:rPr>
          <w:rFonts w:ascii="Times New Roman" w:hAnsi="Times New Roman" w:cs="Times New Roman"/>
          <w:sz w:val="18"/>
          <w:lang w:val="en-US"/>
        </w:rPr>
        <w:t>SA</w:t>
      </w:r>
      <w:r w:rsidR="00A5728A" w:rsidRPr="000D3EB7">
        <w:rPr>
          <w:rFonts w:ascii="Times New Roman" w:hAnsi="Times New Roman" w:cs="Times New Roman"/>
          <w:sz w:val="18"/>
          <w:lang w:val="en-US"/>
        </w:rPr>
        <w:t>S</w:t>
      </w:r>
      <w:r w:rsidR="006D0B15" w:rsidRPr="000D3EB7">
        <w:rPr>
          <w:rFonts w:ascii="Times New Roman" w:hAnsi="Times New Roman" w:cs="Times New Roman"/>
          <w:sz w:val="18"/>
          <w:lang w:val="en-US"/>
        </w:rPr>
        <w:t xml:space="preserve"> in intervention and control group in the pre intervention period 1998-2000</w:t>
      </w:r>
    </w:p>
    <w:p w:rsidR="006D0B15" w:rsidRDefault="006D0B15" w:rsidP="0007461C">
      <w:pPr>
        <w:spacing w:after="0"/>
        <w:rPr>
          <w:lang w:val="en-US"/>
        </w:rPr>
      </w:pPr>
    </w:p>
    <w:p w:rsidR="006D0B15" w:rsidRPr="006D0B15" w:rsidRDefault="006D0B15" w:rsidP="0007461C">
      <w:pPr>
        <w:spacing w:after="0"/>
        <w:rPr>
          <w:lang w:val="en-US"/>
        </w:rPr>
        <w:sectPr w:rsidR="006D0B15" w:rsidRPr="006D0B15" w:rsidSect="00365C24">
          <w:footerReference w:type="default" r:id="rId7"/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>
        <w:rPr>
          <w:noProof/>
          <w:lang w:eastAsia="nb-N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posOffset>10160</wp:posOffset>
            </wp:positionV>
            <wp:extent cx="6233795" cy="3376295"/>
            <wp:effectExtent l="0" t="0" r="0" b="0"/>
            <wp:wrapTight wrapText="bothSides">
              <wp:wrapPolygon edited="0">
                <wp:start x="0" y="0"/>
                <wp:lineTo x="0" y="21450"/>
                <wp:lineTo x="21519" y="21450"/>
                <wp:lineTo x="21519" y="0"/>
                <wp:lineTo x="0" y="0"/>
              </wp:wrapPolygon>
            </wp:wrapTight>
            <wp:docPr id="1" name="Diagram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anchor>
        </w:drawing>
      </w:r>
    </w:p>
    <w:p w:rsidR="0007461C" w:rsidRPr="000D3EB7" w:rsidRDefault="0007461C" w:rsidP="0007461C">
      <w:pPr>
        <w:spacing w:after="0"/>
        <w:rPr>
          <w:rFonts w:ascii="Times New Roman" w:hAnsi="Times New Roman" w:cs="Times New Roman"/>
          <w:sz w:val="18"/>
          <w:szCs w:val="18"/>
          <w:lang w:val="en-GB"/>
        </w:rPr>
      </w:pPr>
    </w:p>
    <w:p w:rsidR="000D3EB7" w:rsidRDefault="000D3EB7" w:rsidP="000D3EB7">
      <w:pPr>
        <w:spacing w:after="0"/>
        <w:rPr>
          <w:lang w:val="en-GB"/>
        </w:rPr>
      </w:pPr>
      <w:r w:rsidRPr="000D3EB7">
        <w:rPr>
          <w:rFonts w:ascii="Times New Roman" w:hAnsi="Times New Roman" w:cs="Times New Roman"/>
          <w:sz w:val="18"/>
          <w:szCs w:val="18"/>
          <w:lang w:val="en-GB"/>
        </w:rPr>
        <w:t xml:space="preserve">Figure 2S </w:t>
      </w:r>
      <w:r>
        <w:rPr>
          <w:rFonts w:ascii="Times New Roman" w:hAnsi="Times New Roman" w:cs="Times New Roman"/>
          <w:sz w:val="18"/>
          <w:szCs w:val="18"/>
          <w:lang w:val="en-GB"/>
        </w:rPr>
        <w:t xml:space="preserve">Risk of </w:t>
      </w:r>
      <w:r w:rsidRPr="000D3EB7">
        <w:rPr>
          <w:rFonts w:ascii="Times New Roman" w:hAnsi="Times New Roman" w:cs="Times New Roman"/>
          <w:sz w:val="18"/>
          <w:szCs w:val="18"/>
          <w:lang w:val="en-US"/>
        </w:rPr>
        <w:t xml:space="preserve">LSAS in intervention and control group </w:t>
      </w:r>
      <w:r>
        <w:rPr>
          <w:rFonts w:ascii="Times New Roman" w:hAnsi="Times New Roman" w:cs="Times New Roman"/>
          <w:sz w:val="18"/>
          <w:szCs w:val="18"/>
          <w:lang w:val="en-US"/>
        </w:rPr>
        <w:t>by sex, adjusted for age</w:t>
      </w:r>
    </w:p>
    <w:p w:rsidR="000D3EB7" w:rsidRPr="000D3EB7" w:rsidRDefault="000D3EB7" w:rsidP="000D3EB7">
      <w:pPr>
        <w:spacing w:after="0"/>
        <w:rPr>
          <w:rFonts w:ascii="Times New Roman" w:hAnsi="Times New Roman" w:cs="Times New Roman"/>
          <w:sz w:val="18"/>
          <w:szCs w:val="18"/>
          <w:lang w:val="en-US"/>
        </w:rPr>
      </w:pPr>
    </w:p>
    <w:p w:rsidR="00162885" w:rsidRDefault="00162885">
      <w:pPr>
        <w:rPr>
          <w:lang w:val="en-GB"/>
        </w:rPr>
      </w:pPr>
    </w:p>
    <w:p w:rsidR="000D3EB7" w:rsidRPr="002C3554" w:rsidRDefault="000D3EB7">
      <w:pPr>
        <w:rPr>
          <w:lang w:val="en-GB"/>
        </w:rPr>
      </w:pPr>
      <w:r>
        <w:rPr>
          <w:noProof/>
          <w:lang w:eastAsia="nb-NO"/>
        </w:rPr>
        <w:drawing>
          <wp:inline distT="0" distB="0" distL="0" distR="0" wp14:anchorId="31C26FE2" wp14:editId="0B4AF66A">
            <wp:extent cx="7559657" cy="2606040"/>
            <wp:effectExtent l="0" t="0" r="3810" b="381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8363" cy="2612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3EB7" w:rsidRPr="002C3554" w:rsidSect="0007461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6E98" w:rsidRDefault="00B401DE">
      <w:pPr>
        <w:spacing w:after="0" w:line="240" w:lineRule="auto"/>
      </w:pPr>
      <w:r>
        <w:separator/>
      </w:r>
    </w:p>
  </w:endnote>
  <w:endnote w:type="continuationSeparator" w:id="0">
    <w:p w:rsidR="00476E98" w:rsidRDefault="00B40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690E" w:rsidRDefault="0007461C">
    <w:pPr>
      <w:pStyle w:val="Bunntekst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5C6855">
      <w:rPr>
        <w:noProof/>
      </w:rPr>
      <w:t>2</w:t>
    </w:r>
    <w:r>
      <w:rPr>
        <w:noProof/>
      </w:rPr>
      <w:fldChar w:fldCharType="end"/>
    </w:r>
  </w:p>
  <w:p w:rsidR="00EC690E" w:rsidRDefault="005C6855">
    <w:pPr>
      <w:pStyle w:val="Bunn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6E98" w:rsidRDefault="00B401DE">
      <w:pPr>
        <w:spacing w:after="0" w:line="240" w:lineRule="auto"/>
      </w:pPr>
      <w:r>
        <w:separator/>
      </w:r>
    </w:p>
  </w:footnote>
  <w:footnote w:type="continuationSeparator" w:id="0">
    <w:p w:rsidR="00476E98" w:rsidRDefault="00B401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61C"/>
    <w:rsid w:val="0007461C"/>
    <w:rsid w:val="000D3EB7"/>
    <w:rsid w:val="00162885"/>
    <w:rsid w:val="002C3554"/>
    <w:rsid w:val="00476E98"/>
    <w:rsid w:val="004949EE"/>
    <w:rsid w:val="005C6855"/>
    <w:rsid w:val="006D0B15"/>
    <w:rsid w:val="00803B3C"/>
    <w:rsid w:val="00A5728A"/>
    <w:rsid w:val="00B401DE"/>
    <w:rsid w:val="00C06648"/>
    <w:rsid w:val="00F63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A14D1B-E60B-42F2-A50C-889DE0052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link w:val="BunntekstTegn"/>
    <w:uiPriority w:val="99"/>
    <w:unhideWhenUsed/>
    <w:rsid w:val="0007461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BunntekstTegn">
    <w:name w:val="Bunntekst Tegn"/>
    <w:basedOn w:val="Standardskriftforavsnitt"/>
    <w:link w:val="Bunntekst"/>
    <w:uiPriority w:val="99"/>
    <w:rsid w:val="0007461C"/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0D3E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0D3E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nansen\Homedirs\tno\Thereses%20dokumenter%20(STAMI)\NordForsk%20(2016-2018)\IA-artikkel\BMC_PublicHealth_2019\Figurer_2_new%20_2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nb-NO"/>
              <a:t>LSAS in the</a:t>
            </a:r>
            <a:r>
              <a:rPr lang="nb-NO" baseline="0"/>
              <a:t> pre intervention period 1998-2000, ALL</a:t>
            </a:r>
            <a:endParaRPr lang="nb-NO"/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b-NO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'Ark1'!$D$6</c:f>
              <c:strCache>
                <c:ptCount val="1"/>
                <c:pt idx="0">
                  <c:v>Intervention</c:v>
                </c:pt>
              </c:strCache>
            </c:strRef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numRef>
              <c:f>'Ark1'!$C$7:$C$9</c:f>
              <c:numCache>
                <c:formatCode>General</c:formatCode>
                <c:ptCount val="3"/>
                <c:pt idx="0">
                  <c:v>1998</c:v>
                </c:pt>
                <c:pt idx="1">
                  <c:v>1999</c:v>
                </c:pt>
                <c:pt idx="2">
                  <c:v>2000</c:v>
                </c:pt>
              </c:numCache>
            </c:numRef>
          </c:cat>
          <c:val>
            <c:numRef>
              <c:f>'Ark1'!$D$7:$D$9</c:f>
              <c:numCache>
                <c:formatCode>General</c:formatCode>
                <c:ptCount val="3"/>
                <c:pt idx="0">
                  <c:v>8.8000000000000007</c:v>
                </c:pt>
                <c:pt idx="1">
                  <c:v>11.1</c:v>
                </c:pt>
                <c:pt idx="2">
                  <c:v>16.899999999999999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'Ark1'!$E$6</c:f>
              <c:strCache>
                <c:ptCount val="1"/>
                <c:pt idx="0">
                  <c:v>Control</c:v>
                </c:pt>
              </c:strCache>
            </c:strRef>
          </c:tx>
          <c:spPr>
            <a:ln w="28575" cap="rnd">
              <a:solidFill>
                <a:schemeClr val="tx1"/>
              </a:solidFill>
              <a:prstDash val="dash"/>
              <a:round/>
            </a:ln>
            <a:effectLst/>
          </c:spPr>
          <c:marker>
            <c:symbol val="none"/>
          </c:marker>
          <c:cat>
            <c:numRef>
              <c:f>'Ark1'!$C$7:$C$9</c:f>
              <c:numCache>
                <c:formatCode>General</c:formatCode>
                <c:ptCount val="3"/>
                <c:pt idx="0">
                  <c:v>1998</c:v>
                </c:pt>
                <c:pt idx="1">
                  <c:v>1999</c:v>
                </c:pt>
                <c:pt idx="2">
                  <c:v>2000</c:v>
                </c:pt>
              </c:numCache>
            </c:numRef>
          </c:cat>
          <c:val>
            <c:numRef>
              <c:f>'Ark1'!$E$7:$E$9</c:f>
              <c:numCache>
                <c:formatCode>General</c:formatCode>
                <c:ptCount val="3"/>
                <c:pt idx="0">
                  <c:v>6.3</c:v>
                </c:pt>
                <c:pt idx="1">
                  <c:v>7.5</c:v>
                </c:pt>
                <c:pt idx="2">
                  <c:v>13.9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41924208"/>
        <c:axId val="441922640"/>
      </c:lineChart>
      <c:catAx>
        <c:axId val="4419242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441922640"/>
        <c:crosses val="autoZero"/>
        <c:auto val="1"/>
        <c:lblAlgn val="ctr"/>
        <c:lblOffset val="100"/>
        <c:noMultiLvlLbl val="0"/>
      </c:catAx>
      <c:valAx>
        <c:axId val="441922640"/>
        <c:scaling>
          <c:orientation val="minMax"/>
          <c:max val="2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nb-NO" sz="1100" b="0" i="0" baseline="0">
                    <a:effectLst/>
                  </a:rPr>
                  <a:t>On-year risk of LSAS  %</a:t>
                </a:r>
                <a:endParaRPr lang="nb-NO" sz="600">
                  <a:effectLst/>
                </a:endParaRP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defRPr>
                </a:pPr>
                <a:endParaRPr lang="nb-NO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nb-NO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b-NO"/>
          </a:p>
        </c:txPr>
        <c:crossAx val="4419242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7159197653170178"/>
          <c:y val="0.90910865144787056"/>
          <c:w val="0.3317471678404238"/>
          <c:h val="6.347009163617754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nb-N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nb-N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9349B9-5E1D-425D-8375-F845C394D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N. Hanvold</dc:creator>
  <cp:keywords/>
  <dc:description/>
  <cp:lastModifiedBy>Therese N. Hanvold</cp:lastModifiedBy>
  <cp:revision>3</cp:revision>
  <dcterms:created xsi:type="dcterms:W3CDTF">2020-07-01T10:37:00Z</dcterms:created>
  <dcterms:modified xsi:type="dcterms:W3CDTF">2020-07-01T10:39:00Z</dcterms:modified>
</cp:coreProperties>
</file>