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E20" w:rsidRPr="008523DB" w:rsidRDefault="00C96E20" w:rsidP="00C96E20">
      <w:pPr>
        <w:spacing w:line="480" w:lineRule="auto"/>
        <w:rPr>
          <w:color w:val="000000" w:themeColor="text1"/>
          <w:sz w:val="40"/>
          <w:szCs w:val="40"/>
          <w:lang w:val="en-US"/>
        </w:rPr>
      </w:pPr>
      <w:r w:rsidRPr="008523DB">
        <w:rPr>
          <w:color w:val="000000" w:themeColor="text1"/>
          <w:sz w:val="40"/>
          <w:szCs w:val="40"/>
          <w:lang w:val="en-US"/>
        </w:rPr>
        <w:t xml:space="preserve">Supplemental </w:t>
      </w:r>
      <w:r>
        <w:rPr>
          <w:color w:val="000000" w:themeColor="text1"/>
          <w:sz w:val="40"/>
          <w:szCs w:val="40"/>
          <w:lang w:val="en-US"/>
        </w:rPr>
        <w:t xml:space="preserve">methods &amp; </w:t>
      </w:r>
      <w:r w:rsidRPr="008523DB">
        <w:rPr>
          <w:color w:val="000000" w:themeColor="text1"/>
          <w:sz w:val="40"/>
          <w:szCs w:val="40"/>
          <w:lang w:val="en-US"/>
        </w:rPr>
        <w:t>figures</w:t>
      </w:r>
    </w:p>
    <w:p w:rsidR="00C96E20" w:rsidRPr="008523DB" w:rsidRDefault="00C96E20" w:rsidP="00C96E20">
      <w:pPr>
        <w:spacing w:line="480" w:lineRule="auto"/>
        <w:jc w:val="both"/>
        <w:rPr>
          <w:color w:val="000000" w:themeColor="text1"/>
          <w:sz w:val="32"/>
          <w:szCs w:val="32"/>
          <w:lang w:val="en-US"/>
        </w:rPr>
      </w:pPr>
      <w:r w:rsidRPr="008523DB">
        <w:rPr>
          <w:color w:val="000000" w:themeColor="text1"/>
          <w:sz w:val="32"/>
          <w:szCs w:val="32"/>
          <w:lang w:val="en-US"/>
        </w:rPr>
        <w:t>An immunological axis involving interleukin 1</w:t>
      </w:r>
      <w:r w:rsidRPr="008523DB">
        <w:rPr>
          <w:color w:val="000000" w:themeColor="text1"/>
          <w:sz w:val="32"/>
          <w:szCs w:val="32"/>
          <w:lang w:val="en-US"/>
        </w:rPr>
        <w:sym w:font="Symbol" w:char="F062"/>
      </w:r>
      <w:r w:rsidRPr="008523DB">
        <w:rPr>
          <w:color w:val="000000" w:themeColor="text1"/>
          <w:sz w:val="32"/>
          <w:szCs w:val="32"/>
          <w:lang w:val="en-US"/>
        </w:rPr>
        <w:t xml:space="preserve"> and leucine-rich-</w:t>
      </w:r>
      <w:r w:rsidRPr="008523DB">
        <w:rPr>
          <w:color w:val="000000" w:themeColor="text1"/>
          <w:sz w:val="32"/>
          <w:szCs w:val="32"/>
          <w:lang w:val="en-US"/>
        </w:rPr>
        <w:sym w:font="Symbol" w:char="F061"/>
      </w:r>
      <w:r w:rsidRPr="008523DB">
        <w:rPr>
          <w:color w:val="000000" w:themeColor="text1"/>
          <w:sz w:val="32"/>
          <w:szCs w:val="32"/>
          <w:lang w:val="en-US"/>
        </w:rPr>
        <w:t>2-glycoprotein reflects therapeutic response of children with Kawasaki disease: implications from the KAWAKINRA trial</w:t>
      </w:r>
    </w:p>
    <w:p w:rsidR="00C96E20" w:rsidRPr="008523DB" w:rsidRDefault="00C96E20" w:rsidP="00C96E20">
      <w:pPr>
        <w:spacing w:line="480" w:lineRule="auto"/>
        <w:jc w:val="both"/>
        <w:rPr>
          <w:color w:val="000000" w:themeColor="text1"/>
          <w:lang w:val="en-US"/>
        </w:rPr>
      </w:pPr>
    </w:p>
    <w:p w:rsidR="00C96E20" w:rsidRPr="008523DB" w:rsidRDefault="00C96E20" w:rsidP="00C96E20">
      <w:pPr>
        <w:spacing w:line="480" w:lineRule="auto"/>
        <w:jc w:val="both"/>
        <w:rPr>
          <w:color w:val="000000" w:themeColor="text1"/>
          <w:lang w:val="en-US"/>
        </w:rPr>
      </w:pPr>
      <w:r w:rsidRPr="008523DB">
        <w:rPr>
          <w:color w:val="000000" w:themeColor="text1"/>
          <w:lang w:val="en-US"/>
        </w:rPr>
        <w:t>Christoph Kessel</w:t>
      </w:r>
      <w:r w:rsidRPr="008523DB">
        <w:rPr>
          <w:color w:val="000000" w:themeColor="text1"/>
          <w:vertAlign w:val="superscript"/>
          <w:lang w:val="en-US"/>
        </w:rPr>
        <w:t>a</w:t>
      </w:r>
      <w:r w:rsidRPr="008523DB">
        <w:rPr>
          <w:color w:val="000000" w:themeColor="text1"/>
          <w:lang w:val="en-US"/>
        </w:rPr>
        <w:t>, Isabelle Koné-Paut</w:t>
      </w:r>
      <w:r w:rsidRPr="008523DB">
        <w:rPr>
          <w:color w:val="000000" w:themeColor="text1"/>
          <w:vertAlign w:val="superscript"/>
          <w:lang w:val="en-US"/>
        </w:rPr>
        <w:t>b</w:t>
      </w:r>
      <w:r w:rsidRPr="008523DB">
        <w:rPr>
          <w:color w:val="000000" w:themeColor="text1"/>
          <w:lang w:val="en-US"/>
        </w:rPr>
        <w:t>, Stéphanie Tellier</w:t>
      </w:r>
      <w:r w:rsidRPr="008523DB">
        <w:rPr>
          <w:color w:val="000000" w:themeColor="text1"/>
          <w:vertAlign w:val="superscript"/>
          <w:lang w:val="en-US"/>
        </w:rPr>
        <w:t>c</w:t>
      </w:r>
      <w:r w:rsidRPr="008523DB">
        <w:rPr>
          <w:color w:val="000000" w:themeColor="text1"/>
          <w:lang w:val="en-US"/>
        </w:rPr>
        <w:t>, Alexandre Belot</w:t>
      </w:r>
      <w:r w:rsidRPr="008523DB">
        <w:rPr>
          <w:color w:val="000000" w:themeColor="text1"/>
          <w:vertAlign w:val="superscript"/>
          <w:lang w:val="en-US"/>
        </w:rPr>
        <w:t>d</w:t>
      </w:r>
      <w:r w:rsidRPr="008523DB">
        <w:rPr>
          <w:color w:val="000000" w:themeColor="text1"/>
          <w:lang w:val="en-US"/>
        </w:rPr>
        <w:t>, Katja Masjosthusmann</w:t>
      </w:r>
      <w:r w:rsidRPr="008523DB">
        <w:rPr>
          <w:color w:val="000000" w:themeColor="text1"/>
          <w:vertAlign w:val="superscript"/>
          <w:lang w:val="en-US"/>
        </w:rPr>
        <w:t>e</w:t>
      </w:r>
      <w:r w:rsidRPr="008523DB">
        <w:rPr>
          <w:color w:val="000000" w:themeColor="text1"/>
          <w:lang w:val="en-US"/>
        </w:rPr>
        <w:t>, Helmut Wittkowski</w:t>
      </w:r>
      <w:r w:rsidRPr="008523DB">
        <w:rPr>
          <w:color w:val="000000" w:themeColor="text1"/>
          <w:vertAlign w:val="superscript"/>
          <w:lang w:val="en-US"/>
        </w:rPr>
        <w:t>a</w:t>
      </w:r>
      <w:r w:rsidRPr="008523DB">
        <w:rPr>
          <w:color w:val="000000" w:themeColor="text1"/>
          <w:lang w:val="en-US"/>
        </w:rPr>
        <w:t>, Sabrina Fuehner</w:t>
      </w:r>
      <w:r w:rsidRPr="008523DB">
        <w:rPr>
          <w:color w:val="000000" w:themeColor="text1"/>
          <w:vertAlign w:val="superscript"/>
          <w:lang w:val="en-US"/>
        </w:rPr>
        <w:t>a</w:t>
      </w:r>
      <w:r w:rsidRPr="008523DB">
        <w:rPr>
          <w:color w:val="000000" w:themeColor="text1"/>
          <w:lang w:val="en-US"/>
        </w:rPr>
        <w:t>, Linda Rossi-Semerano</w:t>
      </w:r>
      <w:r w:rsidRPr="008523DB">
        <w:rPr>
          <w:color w:val="000000" w:themeColor="text1"/>
          <w:vertAlign w:val="superscript"/>
          <w:lang w:val="en-US"/>
        </w:rPr>
        <w:t>b</w:t>
      </w:r>
      <w:r w:rsidRPr="008523DB">
        <w:rPr>
          <w:color w:val="000000" w:themeColor="text1"/>
          <w:lang w:val="en-US"/>
        </w:rPr>
        <w:t>, Perrine Dusser</w:t>
      </w:r>
      <w:r w:rsidRPr="008523DB">
        <w:rPr>
          <w:color w:val="000000" w:themeColor="text1"/>
          <w:vertAlign w:val="superscript"/>
          <w:lang w:val="en-US"/>
        </w:rPr>
        <w:t>b</w:t>
      </w:r>
      <w:r w:rsidRPr="008523DB">
        <w:rPr>
          <w:color w:val="000000" w:themeColor="text1"/>
          <w:lang w:val="en-US"/>
        </w:rPr>
        <w:t>, Isabelle Marie</w:t>
      </w:r>
      <w:r w:rsidRPr="008523DB">
        <w:rPr>
          <w:color w:val="000000" w:themeColor="text1"/>
          <w:vertAlign w:val="superscript"/>
          <w:lang w:val="en-US"/>
        </w:rPr>
        <w:t>b</w:t>
      </w:r>
      <w:r w:rsidRPr="008523DB">
        <w:rPr>
          <w:color w:val="000000" w:themeColor="text1"/>
          <w:lang w:val="en-US"/>
        </w:rPr>
        <w:t>, Nadja Boukhedouni</w:t>
      </w:r>
      <w:r w:rsidRPr="008523DB">
        <w:rPr>
          <w:color w:val="000000" w:themeColor="text1"/>
          <w:vertAlign w:val="superscript"/>
          <w:lang w:val="en-US"/>
        </w:rPr>
        <w:t>f</w:t>
      </w:r>
      <w:r w:rsidRPr="008523DB">
        <w:rPr>
          <w:color w:val="000000" w:themeColor="text1"/>
          <w:lang w:val="en-US"/>
        </w:rPr>
        <w:t xml:space="preserve">, </w:t>
      </w:r>
      <w:r>
        <w:rPr>
          <w:color w:val="000000" w:themeColor="text1"/>
          <w:lang w:val="en-US"/>
        </w:rPr>
        <w:t>Helène Agostini</w:t>
      </w:r>
      <w:r w:rsidRPr="008523DB">
        <w:rPr>
          <w:color w:val="000000" w:themeColor="text1"/>
          <w:vertAlign w:val="superscript"/>
          <w:lang w:val="en-US"/>
        </w:rPr>
        <w:t>f</w:t>
      </w:r>
      <w:r>
        <w:rPr>
          <w:color w:val="000000" w:themeColor="text1"/>
          <w:lang w:val="en-US"/>
        </w:rPr>
        <w:t xml:space="preserve">, </w:t>
      </w:r>
      <w:r w:rsidRPr="008523DB">
        <w:rPr>
          <w:color w:val="000000" w:themeColor="text1"/>
          <w:lang w:val="en-US"/>
        </w:rPr>
        <w:t>Céline Piedvache</w:t>
      </w:r>
      <w:r w:rsidRPr="008523DB">
        <w:rPr>
          <w:color w:val="000000" w:themeColor="text1"/>
          <w:vertAlign w:val="superscript"/>
          <w:lang w:val="en-US"/>
        </w:rPr>
        <w:t>f</w:t>
      </w:r>
      <w:r w:rsidRPr="008523DB">
        <w:rPr>
          <w:color w:val="000000" w:themeColor="text1"/>
          <w:lang w:val="en-US"/>
        </w:rPr>
        <w:t xml:space="preserve"> </w:t>
      </w:r>
      <w:r>
        <w:rPr>
          <w:color w:val="000000" w:themeColor="text1"/>
          <w:lang w:val="en-US"/>
        </w:rPr>
        <w:t xml:space="preserve">and </w:t>
      </w:r>
      <w:r w:rsidRPr="008523DB">
        <w:rPr>
          <w:color w:val="000000" w:themeColor="text1"/>
          <w:lang w:val="en-US"/>
        </w:rPr>
        <w:t>Dirk Foell</w:t>
      </w:r>
      <w:r w:rsidRPr="008523DB">
        <w:rPr>
          <w:color w:val="000000" w:themeColor="text1"/>
          <w:vertAlign w:val="superscript"/>
          <w:lang w:val="en-US"/>
        </w:rPr>
        <w:t>a</w:t>
      </w:r>
    </w:p>
    <w:p w:rsidR="00C96E20" w:rsidRPr="008523DB" w:rsidRDefault="00C96E20" w:rsidP="00C96E20">
      <w:pPr>
        <w:spacing w:line="480" w:lineRule="auto"/>
        <w:jc w:val="both"/>
        <w:rPr>
          <w:rFonts w:eastAsia="Arial Unicode MS"/>
          <w:color w:val="000000" w:themeColor="text1"/>
          <w:vertAlign w:val="superscript"/>
          <w:lang w:val="en-US"/>
        </w:rPr>
      </w:pPr>
    </w:p>
    <w:p w:rsidR="00C96E20" w:rsidRPr="008523DB" w:rsidRDefault="00C96E20" w:rsidP="00C96E20">
      <w:pPr>
        <w:spacing w:line="480" w:lineRule="auto"/>
        <w:jc w:val="both"/>
        <w:rPr>
          <w:rFonts w:eastAsia="Arial Unicode MS"/>
          <w:color w:val="000000" w:themeColor="text1"/>
          <w:lang w:val="en-US"/>
        </w:rPr>
      </w:pPr>
      <w:r w:rsidRPr="008523DB">
        <w:rPr>
          <w:rFonts w:eastAsia="Arial Unicode MS"/>
          <w:color w:val="000000" w:themeColor="text1"/>
          <w:vertAlign w:val="superscript"/>
          <w:lang w:val="en-US"/>
        </w:rPr>
        <w:t>a</w:t>
      </w:r>
      <w:r w:rsidRPr="008523DB">
        <w:rPr>
          <w:rFonts w:eastAsia="Arial Unicode MS"/>
          <w:color w:val="000000" w:themeColor="text1"/>
          <w:lang w:val="en-US"/>
        </w:rPr>
        <w:t>Department of Pediatric Rheumatology and Immunology, University Children’s Hospital Muenster, Muenster, Germany</w:t>
      </w:r>
    </w:p>
    <w:p w:rsidR="00C96E20" w:rsidRPr="008523DB" w:rsidRDefault="00C96E20" w:rsidP="00C96E20">
      <w:pPr>
        <w:spacing w:line="480" w:lineRule="auto"/>
        <w:rPr>
          <w:color w:val="000000" w:themeColor="text1"/>
          <w:lang w:val="en-US"/>
        </w:rPr>
      </w:pPr>
      <w:r w:rsidRPr="008523DB">
        <w:rPr>
          <w:color w:val="000000" w:themeColor="text1"/>
          <w:vertAlign w:val="superscript"/>
          <w:lang w:val="en-US"/>
        </w:rPr>
        <w:t>b</w:t>
      </w:r>
      <w:r w:rsidRPr="008523DB">
        <w:rPr>
          <w:color w:val="000000" w:themeColor="text1"/>
          <w:lang w:val="en-US"/>
        </w:rPr>
        <w:t xml:space="preserve">Division of Pediatric Rheumatology and CEREMAIA, Bicêtre Hospital, APHP, University of Paris Saclay, Le Kremlin-Bicêtre, France </w:t>
      </w:r>
    </w:p>
    <w:p w:rsidR="00C96E20" w:rsidRPr="008523DB" w:rsidRDefault="00C96E20" w:rsidP="00C96E20">
      <w:pPr>
        <w:spacing w:line="480" w:lineRule="auto"/>
        <w:rPr>
          <w:color w:val="000000" w:themeColor="text1"/>
          <w:lang w:val="en-US"/>
        </w:rPr>
      </w:pPr>
      <w:r w:rsidRPr="008523DB">
        <w:rPr>
          <w:color w:val="000000" w:themeColor="text1"/>
          <w:vertAlign w:val="superscript"/>
          <w:lang w:val="en-US"/>
        </w:rPr>
        <w:t>c</w:t>
      </w:r>
      <w:r w:rsidRPr="008523DB">
        <w:rPr>
          <w:color w:val="000000" w:themeColor="text1"/>
          <w:lang w:val="en-US"/>
        </w:rPr>
        <w:t xml:space="preserve">Department of Pediatrics, Divisions of Nephrology, Rheumatology and Internal Medicine, University of Toulouse, Toulouse, France </w:t>
      </w:r>
    </w:p>
    <w:p w:rsidR="00C96E20" w:rsidRPr="008523DB" w:rsidRDefault="00C96E20" w:rsidP="00C96E20">
      <w:pPr>
        <w:spacing w:line="480" w:lineRule="auto"/>
        <w:rPr>
          <w:color w:val="000000" w:themeColor="text1"/>
          <w:lang w:val="en-US"/>
        </w:rPr>
      </w:pPr>
      <w:r w:rsidRPr="008523DB">
        <w:rPr>
          <w:color w:val="000000" w:themeColor="text1"/>
          <w:vertAlign w:val="superscript"/>
          <w:lang w:val="en-US"/>
        </w:rPr>
        <w:t>d</w:t>
      </w:r>
      <w:r w:rsidRPr="008523DB">
        <w:rPr>
          <w:color w:val="000000" w:themeColor="text1"/>
          <w:lang w:val="en-US"/>
        </w:rPr>
        <w:t>Departments of Pediatrics, Division of Rheumatology, Dermatology and Nephrology, University of Lyon, Lyon, France</w:t>
      </w:r>
    </w:p>
    <w:p w:rsidR="00C96E20" w:rsidRPr="008523DB" w:rsidRDefault="00C96E20" w:rsidP="00C96E20">
      <w:pPr>
        <w:spacing w:line="480" w:lineRule="auto"/>
        <w:rPr>
          <w:color w:val="000000" w:themeColor="text1"/>
          <w:lang w:val="en-US"/>
        </w:rPr>
      </w:pPr>
      <w:r w:rsidRPr="008523DB">
        <w:rPr>
          <w:color w:val="000000" w:themeColor="text1"/>
          <w:vertAlign w:val="superscript"/>
          <w:lang w:val="en-US"/>
        </w:rPr>
        <w:t>e</w:t>
      </w:r>
      <w:r w:rsidRPr="008523DB">
        <w:rPr>
          <w:color w:val="000000" w:themeColor="text1"/>
          <w:lang w:val="en-US"/>
        </w:rPr>
        <w:t>Department of General Pediatrics, University Children's Hospital Muenster, Muenster, Germany</w:t>
      </w:r>
    </w:p>
    <w:p w:rsidR="00C96E20" w:rsidRPr="008523DB" w:rsidRDefault="00C96E20" w:rsidP="00C96E20">
      <w:pPr>
        <w:pStyle w:val="NormalWeb"/>
        <w:spacing w:before="0" w:beforeAutospacing="0" w:after="0" w:afterAutospacing="0" w:line="480" w:lineRule="auto"/>
        <w:rPr>
          <w:color w:val="000000" w:themeColor="text1"/>
          <w:sz w:val="20"/>
          <w:szCs w:val="20"/>
          <w:lang w:val="en-US"/>
        </w:rPr>
      </w:pPr>
      <w:r w:rsidRPr="008523DB">
        <w:rPr>
          <w:color w:val="000000" w:themeColor="text1"/>
          <w:vertAlign w:val="superscript"/>
          <w:lang w:val="en-US"/>
        </w:rPr>
        <w:t>f</w:t>
      </w:r>
      <w:r w:rsidRPr="008523DB">
        <w:rPr>
          <w:color w:val="000000" w:themeColor="text1"/>
          <w:lang w:val="en-US"/>
        </w:rPr>
        <w:t>APHP, Paris Saclay, Clinical Research Unit Paris-Saclay, Bicêtre Hospital, Le Kremlin-Bicêtre, France</w:t>
      </w:r>
    </w:p>
    <w:p w:rsidR="00C96E20" w:rsidRPr="008523DB" w:rsidRDefault="00C96E20" w:rsidP="00C96E20">
      <w:pPr>
        <w:pStyle w:val="NormalWeb"/>
        <w:spacing w:line="480" w:lineRule="auto"/>
        <w:rPr>
          <w:color w:val="000000" w:themeColor="text1"/>
          <w:sz w:val="20"/>
          <w:szCs w:val="20"/>
          <w:lang w:val="en-US"/>
        </w:rPr>
      </w:pPr>
    </w:p>
    <w:p w:rsidR="00C96E20" w:rsidRDefault="00C96E20" w:rsidP="00C96E20">
      <w:pPr>
        <w:tabs>
          <w:tab w:val="left" w:pos="9060"/>
        </w:tabs>
        <w:spacing w:line="480" w:lineRule="auto"/>
        <w:ind w:right="8"/>
        <w:jc w:val="both"/>
        <w:rPr>
          <w:color w:val="000000" w:themeColor="text1"/>
          <w:lang w:val="en-US"/>
        </w:rPr>
      </w:pPr>
      <w:r w:rsidRPr="008523DB">
        <w:rPr>
          <w:b/>
          <w:bCs/>
          <w:color w:val="000000" w:themeColor="text1"/>
          <w:lang w:val="en-US"/>
        </w:rPr>
        <w:lastRenderedPageBreak/>
        <w:t xml:space="preserve">Corresponding author: </w:t>
      </w:r>
      <w:r w:rsidRPr="008523DB">
        <w:rPr>
          <w:color w:val="000000" w:themeColor="text1"/>
          <w:lang w:val="en-US"/>
        </w:rPr>
        <w:t xml:space="preserve">Dr. Christoph Kessel, </w:t>
      </w:r>
      <w:r w:rsidRPr="008523DB">
        <w:rPr>
          <w:rFonts w:eastAsia="Arial Unicode MS"/>
          <w:color w:val="000000" w:themeColor="text1"/>
          <w:lang w:val="en-US"/>
        </w:rPr>
        <w:t xml:space="preserve">Department of Pediatric Rheumatology and Immunology, University Children’s Hospital Muenster, Domagkstr. 3, 48149 Muenster, Germany; Email: </w:t>
      </w:r>
      <w:hyperlink r:id="rId4" w:history="1">
        <w:r w:rsidRPr="008523DB">
          <w:rPr>
            <w:rStyle w:val="Hyperlink"/>
            <w:rFonts w:eastAsia="Arial Unicode MS"/>
            <w:color w:val="000000" w:themeColor="text1"/>
            <w:lang w:val="en-US"/>
          </w:rPr>
          <w:t>christoph.kessel@uni-muenster.de</w:t>
        </w:r>
      </w:hyperlink>
      <w:hyperlink r:id="rId5" w:history="1"/>
      <w:r w:rsidRPr="008523DB">
        <w:rPr>
          <w:rFonts w:eastAsia="Arial Unicode MS"/>
          <w:color w:val="000000" w:themeColor="text1"/>
          <w:lang w:val="en-US"/>
        </w:rPr>
        <w:t>; Phone: +49-251-83-58176; Fax: +49-251-83-5817</w:t>
      </w:r>
      <w:r w:rsidRPr="008523DB">
        <w:rPr>
          <w:color w:val="000000" w:themeColor="text1"/>
          <w:lang w:val="en-US"/>
        </w:rPr>
        <w:t>4</w:t>
      </w:r>
    </w:p>
    <w:p w:rsidR="00C96E20" w:rsidRDefault="00C96E20" w:rsidP="00C96E20">
      <w:pPr>
        <w:rPr>
          <w:color w:val="000000" w:themeColor="text1"/>
          <w:lang w:val="en-US"/>
        </w:rPr>
      </w:pPr>
      <w:r>
        <w:rPr>
          <w:color w:val="000000" w:themeColor="text1"/>
          <w:lang w:val="en-US"/>
        </w:rPr>
        <w:br w:type="page"/>
      </w:r>
    </w:p>
    <w:p w:rsidR="00C96E20" w:rsidRPr="008523DB" w:rsidRDefault="00C96E20" w:rsidP="00C96E20">
      <w:pPr>
        <w:pStyle w:val="NormalWeb"/>
        <w:spacing w:before="0" w:beforeAutospacing="0" w:after="0" w:afterAutospacing="0" w:line="480" w:lineRule="auto"/>
        <w:jc w:val="both"/>
        <w:rPr>
          <w:b/>
          <w:bCs/>
          <w:color w:val="000000" w:themeColor="text1"/>
          <w:lang w:val="en-US"/>
        </w:rPr>
      </w:pPr>
      <w:r w:rsidRPr="008523DB">
        <w:rPr>
          <w:b/>
          <w:bCs/>
          <w:color w:val="000000" w:themeColor="text1"/>
          <w:lang w:val="en-US"/>
        </w:rPr>
        <w:lastRenderedPageBreak/>
        <w:t>Cell stimulations</w:t>
      </w:r>
    </w:p>
    <w:p w:rsidR="00C96E20" w:rsidRPr="008523DB" w:rsidRDefault="00C96E20" w:rsidP="00C96E20">
      <w:pPr>
        <w:pStyle w:val="NormalWeb"/>
        <w:spacing w:before="0" w:beforeAutospacing="0" w:after="0" w:afterAutospacing="0" w:line="480" w:lineRule="auto"/>
        <w:jc w:val="both"/>
        <w:rPr>
          <w:color w:val="000000" w:themeColor="text1"/>
          <w:lang w:val="en-US"/>
        </w:rPr>
      </w:pPr>
      <w:r w:rsidRPr="008523DB">
        <w:rPr>
          <w:color w:val="000000" w:themeColor="text1"/>
          <w:lang w:val="en-US"/>
        </w:rPr>
        <w:t>Human heparinized whole blood was collected in respective vacutainers. Polymorphonuclear leukocytes (PMNs) were isolated from human whole blood using the EasySep™ Direct Human Neutrophil Isolation Kit (Stemcell technologies, Cologne, Germany) according to the manufacturer’s instructions. 150</w:t>
      </w:r>
      <w:r w:rsidRPr="008523DB">
        <w:rPr>
          <w:color w:val="000000" w:themeColor="text1"/>
          <w:lang w:val="en-US"/>
        </w:rPr>
        <w:sym w:font="Symbol" w:char="F06D"/>
      </w:r>
      <w:r w:rsidRPr="008523DB">
        <w:rPr>
          <w:color w:val="000000" w:themeColor="text1"/>
          <w:lang w:val="en-US"/>
        </w:rPr>
        <w:t>l of fresh blood or 25 x 10</w:t>
      </w:r>
      <w:r w:rsidRPr="008523DB">
        <w:rPr>
          <w:color w:val="000000" w:themeColor="text1"/>
          <w:vertAlign w:val="superscript"/>
          <w:lang w:val="en-US"/>
        </w:rPr>
        <w:t>4</w:t>
      </w:r>
      <w:r w:rsidRPr="008523DB">
        <w:rPr>
          <w:color w:val="000000" w:themeColor="text1"/>
          <w:lang w:val="en-US"/>
        </w:rPr>
        <w:t xml:space="preserve"> PMNs/200</w:t>
      </w:r>
      <w:r w:rsidRPr="008523DB">
        <w:rPr>
          <w:color w:val="000000" w:themeColor="text1"/>
          <w:lang w:val="en-US"/>
        </w:rPr>
        <w:sym w:font="Symbol" w:char="F06D"/>
      </w:r>
      <w:r w:rsidRPr="008523DB">
        <w:rPr>
          <w:color w:val="000000" w:themeColor="text1"/>
          <w:lang w:val="en-US"/>
        </w:rPr>
        <w:t>l culture medium (complete RPMI) were stimulated with indicated concentrations of recombinant human IL-1β (R&amp;D Systems, Minneapolis, MN, USA). Following 4h of stimulation supernatants were separated from whole blood components or PMNs by centrifugation (10’, 2000rpm) and stored at -20°C until analysis.</w:t>
      </w:r>
    </w:p>
    <w:p w:rsidR="00C96E20" w:rsidRPr="008523DB" w:rsidRDefault="00C96E20" w:rsidP="00C96E20">
      <w:pPr>
        <w:pStyle w:val="NormalWeb"/>
        <w:spacing w:before="0" w:beforeAutospacing="0" w:after="0" w:afterAutospacing="0" w:line="480" w:lineRule="auto"/>
        <w:jc w:val="both"/>
        <w:rPr>
          <w:color w:val="000000" w:themeColor="text1"/>
          <w:lang w:val="en-US"/>
        </w:rPr>
      </w:pPr>
      <w:r w:rsidRPr="008523DB">
        <w:rPr>
          <w:color w:val="000000" w:themeColor="text1"/>
          <w:lang w:val="en-US"/>
        </w:rPr>
        <w:t xml:space="preserve">Human coronary artery endothelial cells (HCAECs) </w:t>
      </w:r>
      <w:r w:rsidRPr="008523DB">
        <w:rPr>
          <w:rFonts w:eastAsia="Arial"/>
          <w:color w:val="000000" w:themeColor="text1"/>
          <w:lang w:val="en-US"/>
        </w:rPr>
        <w:t xml:space="preserve">were purchased from PeloBiotech (Planegg, Germany) and were cultured and stimulated as described previously </w:t>
      </w:r>
      <w:r w:rsidRPr="008523DB">
        <w:rPr>
          <w:rFonts w:eastAsia="Arial"/>
          <w:color w:val="000000" w:themeColor="text1"/>
          <w:lang w:val="en-US"/>
        </w:rPr>
        <w:fldChar w:fldCharType="begin">
          <w:fldData xml:space="preserve">PEVuZE5vdGU+PENpdGU+PEF1dGhvcj5Bcm1hcm9saTwvQXV0aG9yPjxZZWFyPjIwMTk8L1llYXI+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</w:fldData>
        </w:fldChar>
      </w:r>
      <w:r>
        <w:rPr>
          <w:rFonts w:eastAsia="Arial"/>
          <w:color w:val="000000" w:themeColor="text1"/>
          <w:lang w:val="en-US"/>
        </w:rPr>
        <w:instrText xml:space="preserve"> ADDIN EN.CITE </w:instrText>
      </w:r>
      <w:r>
        <w:rPr>
          <w:rFonts w:eastAsia="Arial"/>
          <w:color w:val="000000" w:themeColor="text1"/>
          <w:lang w:val="en-US"/>
        </w:rPr>
        <w:fldChar w:fldCharType="begin">
          <w:fldData xml:space="preserve">PEVuZE5vdGU+PENpdGU+PEF1dGhvcj5Bcm1hcm9saTwvQXV0aG9yPjxZZWFyPjIwMTk8L1llYXI+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</w:fldData>
        </w:fldChar>
      </w:r>
      <w:r>
        <w:rPr>
          <w:rFonts w:eastAsia="Arial"/>
          <w:color w:val="000000" w:themeColor="text1"/>
          <w:lang w:val="en-US"/>
        </w:rPr>
        <w:instrText xml:space="preserve"> ADDIN EN.CITE.DATA </w:instrText>
      </w:r>
      <w:r>
        <w:rPr>
          <w:rFonts w:eastAsia="Arial"/>
          <w:color w:val="000000" w:themeColor="text1"/>
          <w:lang w:val="en-US"/>
        </w:rPr>
      </w:r>
      <w:r>
        <w:rPr>
          <w:rFonts w:eastAsia="Arial"/>
          <w:color w:val="000000" w:themeColor="text1"/>
          <w:lang w:val="en-US"/>
        </w:rPr>
        <w:fldChar w:fldCharType="end"/>
      </w:r>
      <w:r w:rsidRPr="008523DB">
        <w:rPr>
          <w:rFonts w:eastAsia="Arial"/>
          <w:color w:val="000000" w:themeColor="text1"/>
          <w:lang w:val="en-US"/>
        </w:rPr>
      </w:r>
      <w:r w:rsidRPr="008523DB">
        <w:rPr>
          <w:rFonts w:eastAsia="Arial"/>
          <w:color w:val="000000" w:themeColor="text1"/>
          <w:lang w:val="en-US"/>
        </w:rPr>
        <w:fldChar w:fldCharType="separate"/>
      </w:r>
      <w:r>
        <w:rPr>
          <w:rFonts w:eastAsia="Arial"/>
          <w:noProof/>
          <w:color w:val="000000" w:themeColor="text1"/>
          <w:lang w:val="en-US"/>
        </w:rPr>
        <w:t>(1)</w:t>
      </w:r>
      <w:r w:rsidRPr="008523DB">
        <w:rPr>
          <w:rFonts w:eastAsia="Arial"/>
          <w:color w:val="000000" w:themeColor="text1"/>
          <w:lang w:val="en-US"/>
        </w:rPr>
        <w:fldChar w:fldCharType="end"/>
      </w:r>
      <w:r w:rsidRPr="008523DB">
        <w:rPr>
          <w:rFonts w:eastAsia="Arial"/>
          <w:color w:val="000000" w:themeColor="text1"/>
          <w:lang w:val="en-US"/>
        </w:rPr>
        <w:t>. Briefly, cells in microvascular endothelial cell growth medium (MEM, PeloBiotech) supplemented according to the manufacturer’s instructions were seeded in gelatin-coated (0.1%, Sigma-Aldrich, Munich, Germany) 12-well tissue culture plates (2 x 10</w:t>
      </w:r>
      <w:r w:rsidRPr="008523DB">
        <w:rPr>
          <w:rFonts w:eastAsia="Arial"/>
          <w:color w:val="000000" w:themeColor="text1"/>
          <w:vertAlign w:val="superscript"/>
          <w:lang w:val="en-US"/>
        </w:rPr>
        <w:t>4</w:t>
      </w:r>
      <w:r w:rsidRPr="008523DB">
        <w:rPr>
          <w:rFonts w:eastAsia="Arial"/>
          <w:color w:val="000000" w:themeColor="text1"/>
          <w:lang w:val="en-US"/>
        </w:rPr>
        <w:t xml:space="preserve"> cells/well in 2 ml complete MEM) and were stimulated with </w:t>
      </w:r>
      <w:r w:rsidRPr="008523DB">
        <w:rPr>
          <w:color w:val="000000" w:themeColor="text1"/>
          <w:lang w:val="en-US"/>
        </w:rPr>
        <w:t>recombinant human IL-1β (R&amp;D Systems)</w:t>
      </w:r>
      <w:r w:rsidRPr="008523DB">
        <w:rPr>
          <w:rFonts w:eastAsia="Arial"/>
          <w:color w:val="000000" w:themeColor="text1"/>
          <w:lang w:val="en-US"/>
        </w:rPr>
        <w:t xml:space="preserve"> at 80-90% confluence. </w:t>
      </w:r>
      <w:r w:rsidRPr="008523DB">
        <w:rPr>
          <w:color w:val="000000" w:themeColor="text1"/>
          <w:lang w:val="en-US"/>
        </w:rPr>
        <w:t>Following 18h of stimulation, supernatants were harvested and stored at -20°C until analysis.</w:t>
      </w:r>
    </w:p>
    <w:p w:rsidR="00C96E20" w:rsidRPr="008523DB" w:rsidRDefault="00C96E20" w:rsidP="00C96E20">
      <w:pPr>
        <w:pStyle w:val="NormalWeb"/>
        <w:spacing w:before="0" w:beforeAutospacing="0" w:after="0" w:afterAutospacing="0" w:line="480" w:lineRule="auto"/>
        <w:jc w:val="both"/>
        <w:rPr>
          <w:color w:val="000000" w:themeColor="text1"/>
          <w:lang w:val="en-US"/>
        </w:rPr>
      </w:pPr>
    </w:p>
    <w:p w:rsidR="00C96E20" w:rsidRPr="008523DB" w:rsidRDefault="00C96E20" w:rsidP="00C96E20">
      <w:pPr>
        <w:spacing w:line="480" w:lineRule="auto"/>
        <w:rPr>
          <w:b/>
          <w:bCs/>
          <w:color w:val="000000" w:themeColor="text1"/>
          <w:lang w:val="en-US"/>
        </w:rPr>
      </w:pPr>
      <w:bookmarkStart w:id="0" w:name="_Hlk51359587"/>
      <w:r w:rsidRPr="008523DB">
        <w:rPr>
          <w:b/>
          <w:bCs/>
          <w:color w:val="000000" w:themeColor="text1"/>
          <w:lang w:val="en-US"/>
        </w:rPr>
        <w:t>Quantification of single or multiple markers in sera and culture supernatants</w:t>
      </w:r>
    </w:p>
    <w:bookmarkEnd w:id="0"/>
    <w:p w:rsidR="00C96E20" w:rsidRPr="008523DB" w:rsidRDefault="00C96E20" w:rsidP="00C96E20">
      <w:pPr>
        <w:spacing w:line="480" w:lineRule="auto"/>
        <w:jc w:val="both"/>
        <w:rPr>
          <w:color w:val="000000" w:themeColor="text1"/>
          <w:lang w:val="en-US"/>
        </w:rPr>
      </w:pPr>
      <w:r w:rsidRPr="008523DB">
        <w:rPr>
          <w:color w:val="000000" w:themeColor="text1"/>
          <w:lang w:val="en-US"/>
        </w:rPr>
        <w:t xml:space="preserve">Reagents for multiplexed quantification of IL-1β, IL-1Ra, IL-4, IL-6, IL-8, IL-10, IL-17A, IL-18, TNFα, IFNα, IFNβ, IFN-γ, MCP2 (CCL8), MCP3 (CCL7), CXCL9, CXCL10, MCSF, LRG1, sFasL, ICAM-1, VCAM-1 and Galectin-3 were purchased from R&amp;D Systems (Minneapolis, OH, USA). </w:t>
      </w:r>
      <w:r w:rsidRPr="008523DB">
        <w:rPr>
          <w:rFonts w:eastAsia="Arial"/>
          <w:color w:val="000000" w:themeColor="text1"/>
          <w:lang w:val="en-US"/>
        </w:rPr>
        <w:t xml:space="preserve">Reagents and sera or cell culture supernatants were prepared </w:t>
      </w:r>
      <w:r w:rsidRPr="008523DB">
        <w:rPr>
          <w:color w:val="000000" w:themeColor="text1"/>
          <w:lang w:val="en-US"/>
        </w:rPr>
        <w:t>according to the manufacturer’s instructions (R&amp;D Systems</w:t>
      </w:r>
      <w:r w:rsidRPr="008523DB">
        <w:rPr>
          <w:rFonts w:eastAsia="Arial"/>
          <w:color w:val="000000" w:themeColor="text1"/>
          <w:lang w:val="en-US"/>
        </w:rPr>
        <w:t>)</w:t>
      </w:r>
      <w:r w:rsidRPr="008523DB">
        <w:rPr>
          <w:color w:val="000000" w:themeColor="text1"/>
          <w:lang w:val="en-US"/>
        </w:rPr>
        <w:t xml:space="preserve">. </w:t>
      </w:r>
      <w:r>
        <w:rPr>
          <w:color w:val="000000" w:themeColor="text1"/>
          <w:lang w:val="en-US"/>
        </w:rPr>
        <w:t xml:space="preserve">KAWAKINRA study samples as well as healthy controls were run on a single 96-well Luminex plate. </w:t>
      </w:r>
      <w:r w:rsidRPr="008523DB">
        <w:rPr>
          <w:color w:val="000000" w:themeColor="text1"/>
          <w:lang w:val="en-US"/>
        </w:rPr>
        <w:t xml:space="preserve">Data acquisition and analysis was performed on a MAGPIX instrument (Merck Millipore, Darmstadt, Germany) </w:t>
      </w:r>
      <w:r w:rsidRPr="008523DB">
        <w:rPr>
          <w:color w:val="000000" w:themeColor="text1"/>
          <w:lang w:val="en-US"/>
        </w:rPr>
        <w:lastRenderedPageBreak/>
        <w:t xml:space="preserve">using xPONENT v4.2 software (Luminex). </w:t>
      </w:r>
      <w:r w:rsidRPr="008523DB">
        <w:rPr>
          <w:rFonts w:eastAsia="-webkit-standard"/>
          <w:color w:val="000000" w:themeColor="text1"/>
          <w:lang w:val="en-US"/>
        </w:rPr>
        <w:t>Concentrations of S100A12 in patients’ sera were quantified by sandwich ELISA using in-house monoclonal antibodies</w:t>
      </w:r>
      <w:r>
        <w:rPr>
          <w:rFonts w:eastAsia="-webkit-standard"/>
          <w:color w:val="000000" w:themeColor="text1"/>
          <w:lang w:val="en-US"/>
        </w:rPr>
        <w:t xml:space="preserve"> </w:t>
      </w:r>
      <w:r w:rsidRPr="008523DB">
        <w:rPr>
          <w:rFonts w:eastAsia="Arial"/>
          <w:color w:val="000000" w:themeColor="text1"/>
          <w:lang w:val="en-US"/>
        </w:rPr>
        <w:fldChar w:fldCharType="begin">
          <w:fldData xml:space="preserve">PEVuZE5vdGU+PENpdGU+PEF1dGhvcj5Bcm1hcm9saTwvQXV0aG9yPjxZZWFyPjIwMTk8L1llYXI+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</w:fldData>
        </w:fldChar>
      </w:r>
      <w:r>
        <w:rPr>
          <w:rFonts w:eastAsia="Arial"/>
          <w:color w:val="000000" w:themeColor="text1"/>
          <w:lang w:val="en-US"/>
        </w:rPr>
        <w:instrText xml:space="preserve"> ADDIN EN.CITE </w:instrText>
      </w:r>
      <w:r>
        <w:rPr>
          <w:rFonts w:eastAsia="Arial"/>
          <w:color w:val="000000" w:themeColor="text1"/>
          <w:lang w:val="en-US"/>
        </w:rPr>
        <w:fldChar w:fldCharType="begin">
          <w:fldData xml:space="preserve">PEVuZE5vdGU+PENpdGU+PEF1dGhvcj5Bcm1hcm9saTwvQXV0aG9yPjxZZWFyPjIwMTk8L1llYXI+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</w:fldData>
        </w:fldChar>
      </w:r>
      <w:r>
        <w:rPr>
          <w:rFonts w:eastAsia="Arial"/>
          <w:color w:val="000000" w:themeColor="text1"/>
          <w:lang w:val="en-US"/>
        </w:rPr>
        <w:instrText xml:space="preserve"> ADDIN EN.CITE.DATA </w:instrText>
      </w:r>
      <w:r>
        <w:rPr>
          <w:rFonts w:eastAsia="Arial"/>
          <w:color w:val="000000" w:themeColor="text1"/>
          <w:lang w:val="en-US"/>
        </w:rPr>
      </w:r>
      <w:r>
        <w:rPr>
          <w:rFonts w:eastAsia="Arial"/>
          <w:color w:val="000000" w:themeColor="text1"/>
          <w:lang w:val="en-US"/>
        </w:rPr>
        <w:fldChar w:fldCharType="end"/>
      </w:r>
      <w:r w:rsidRPr="008523DB">
        <w:rPr>
          <w:rFonts w:eastAsia="Arial"/>
          <w:color w:val="000000" w:themeColor="text1"/>
          <w:lang w:val="en-US"/>
        </w:rPr>
      </w:r>
      <w:r w:rsidRPr="008523DB">
        <w:rPr>
          <w:rFonts w:eastAsia="Arial"/>
          <w:color w:val="000000" w:themeColor="text1"/>
          <w:lang w:val="en-US"/>
        </w:rPr>
        <w:fldChar w:fldCharType="separate"/>
      </w:r>
      <w:r>
        <w:rPr>
          <w:rFonts w:eastAsia="Arial"/>
          <w:noProof/>
          <w:color w:val="000000" w:themeColor="text1"/>
          <w:lang w:val="en-US"/>
        </w:rPr>
        <w:t>(1)</w:t>
      </w:r>
      <w:r w:rsidRPr="008523DB">
        <w:rPr>
          <w:rFonts w:eastAsia="Arial"/>
          <w:color w:val="000000" w:themeColor="text1"/>
          <w:lang w:val="en-US"/>
        </w:rPr>
        <w:fldChar w:fldCharType="end"/>
      </w:r>
      <w:r w:rsidRPr="008523DB">
        <w:rPr>
          <w:rFonts w:eastAsia="-webkit-standard"/>
          <w:color w:val="000000" w:themeColor="text1"/>
          <w:lang w:val="en-US"/>
        </w:rPr>
        <w:t>.</w:t>
      </w:r>
    </w:p>
    <w:p w:rsidR="00C96E20" w:rsidRDefault="00C96E20" w:rsidP="00C96E20">
      <w:pPr>
        <w:tabs>
          <w:tab w:val="left" w:pos="9060"/>
        </w:tabs>
        <w:spacing w:line="480" w:lineRule="auto"/>
        <w:ind w:right="8"/>
        <w:jc w:val="both"/>
        <w:rPr>
          <w:color w:val="000000" w:themeColor="text1"/>
          <w:lang w:val="en-US"/>
        </w:rPr>
      </w:pPr>
    </w:p>
    <w:p w:rsidR="00C96E20" w:rsidRDefault="00C96E20" w:rsidP="00C96E20">
      <w:pPr>
        <w:rPr>
          <w:color w:val="000000" w:themeColor="text1"/>
          <w:lang w:val="en-US"/>
        </w:rPr>
      </w:pPr>
      <w:r>
        <w:rPr>
          <w:color w:val="000000" w:themeColor="text1"/>
          <w:lang w:val="en-US"/>
        </w:rPr>
        <w:br w:type="page"/>
      </w:r>
    </w:p>
    <w:p w:rsidR="00C96E20" w:rsidRPr="008523DB" w:rsidRDefault="00C96E20" w:rsidP="00C96E20">
      <w:pPr>
        <w:tabs>
          <w:tab w:val="left" w:pos="9060"/>
        </w:tabs>
        <w:spacing w:line="480" w:lineRule="auto"/>
        <w:ind w:right="8"/>
        <w:jc w:val="both"/>
        <w:rPr>
          <w:b/>
          <w:bCs/>
          <w:color w:val="000000" w:themeColor="text1"/>
          <w:lang w:val="en-US"/>
        </w:rPr>
        <w:sectPr w:rsidR="00C96E20" w:rsidRPr="008523DB" w:rsidSect="008D1741">
          <w:footerReference w:type="even" r:id="rId6"/>
          <w:footerReference w:type="default" r:id="rId7"/>
          <w:pgSz w:w="11900" w:h="16840"/>
          <w:pgMar w:top="1417" w:right="1417" w:bottom="1134" w:left="1417" w:header="708" w:footer="708" w:gutter="0"/>
          <w:cols w:space="708"/>
          <w:docGrid w:linePitch="360"/>
        </w:sectPr>
      </w:pPr>
    </w:p>
    <w:p w:rsidR="00C96E20" w:rsidRPr="008523DB" w:rsidRDefault="00C96E20" w:rsidP="00C96E20">
      <w:pPr>
        <w:spacing w:line="480" w:lineRule="auto"/>
        <w:rPr>
          <w:color w:val="000000" w:themeColor="text1"/>
        </w:rPr>
      </w:pPr>
      <w:r w:rsidRPr="008523DB">
        <w:rPr>
          <w:noProof/>
          <w:color w:val="000000" w:themeColor="text1"/>
          <w:lang w:val="en-US" w:eastAsia="en-US"/>
        </w:rPr>
        <w:lastRenderedPageBreak/>
        <w:drawing>
          <wp:inline distT="0" distB="0" distL="0" distR="0" wp14:anchorId="60E1C0A0" wp14:editId="4FA79A08">
            <wp:extent cx="9073515" cy="5737225"/>
            <wp:effectExtent l="0" t="0" r="0" b="317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a:blip r:embed="rId8">
                      <a:extLst>
                        <a:ext uri="{28A0092B-C50C-407E-A947-70E740481C1C}">
                          <a14:useLocalDpi xmlns:a14="http://schemas.microsoft.com/office/drawing/2010/main" val="0"/>
                        </a:ext>
                      </a:extLst>
                    </a:blip>
                    <a:stretch>
                      <a:fillRect/>
                    </a:stretch>
                  </pic:blipFill>
                  <pic:spPr>
                    <a:xfrm>
                      <a:off x="0" y="0"/>
                      <a:ext cx="9073515" cy="5737225"/>
                    </a:xfrm>
                    <a:prstGeom prst="rect">
                      <a:avLst/>
                    </a:prstGeom>
                  </pic:spPr>
                </pic:pic>
              </a:graphicData>
            </a:graphic>
          </wp:inline>
        </w:drawing>
      </w:r>
    </w:p>
    <w:p w:rsidR="00C96E20" w:rsidRPr="008523DB" w:rsidRDefault="00C96E20" w:rsidP="00C96E20">
      <w:pPr>
        <w:spacing w:line="480" w:lineRule="auto"/>
        <w:jc w:val="both"/>
        <w:rPr>
          <w:color w:val="000000" w:themeColor="text1"/>
          <w:lang w:val="en-US"/>
        </w:rPr>
      </w:pPr>
      <w:r w:rsidRPr="008523DB">
        <w:rPr>
          <w:b/>
          <w:bCs/>
          <w:color w:val="000000" w:themeColor="text1"/>
          <w:lang w:val="en-US"/>
        </w:rPr>
        <w:lastRenderedPageBreak/>
        <w:t>Figure S1. Serum biomarker levels at screening visit.</w:t>
      </w:r>
      <w:r w:rsidRPr="008523DB">
        <w:rPr>
          <w:color w:val="000000" w:themeColor="text1"/>
          <w:lang w:val="en-US"/>
        </w:rPr>
        <w:t xml:space="preserve"> (</w:t>
      </w:r>
      <w:r w:rsidRPr="008523DB">
        <w:rPr>
          <w:b/>
          <w:bCs/>
          <w:color w:val="000000" w:themeColor="text1"/>
          <w:lang w:val="en-US"/>
        </w:rPr>
        <w:t>A</w:t>
      </w:r>
      <w:r w:rsidRPr="008523DB">
        <w:rPr>
          <w:color w:val="000000" w:themeColor="text1"/>
          <w:lang w:val="en-US"/>
        </w:rPr>
        <w:t>)  Ward’s unsupervised hierarchical clustering of serum biomarker levels quantified at screening visit, including patient 15 which was retrospectively diagnosed as sJIA-MAS. Color coding indicates Z-score. (</w:t>
      </w:r>
      <w:r w:rsidRPr="008523DB">
        <w:rPr>
          <w:b/>
          <w:bCs/>
          <w:color w:val="000000" w:themeColor="text1"/>
          <w:lang w:val="en-US"/>
        </w:rPr>
        <w:t>B</w:t>
      </w:r>
      <w:r w:rsidRPr="008523DB">
        <w:rPr>
          <w:color w:val="000000" w:themeColor="text1"/>
          <w:lang w:val="en-US"/>
        </w:rPr>
        <w:t>) Serum biomarkers which support patient clustering at screening visit on MFI but not absolute concentration level. (</w:t>
      </w:r>
      <w:r w:rsidRPr="008523DB">
        <w:rPr>
          <w:b/>
          <w:bCs/>
          <w:color w:val="000000" w:themeColor="text1"/>
          <w:lang w:val="en-US"/>
        </w:rPr>
        <w:t>C</w:t>
      </w:r>
      <w:r w:rsidRPr="008523DB">
        <w:rPr>
          <w:color w:val="000000" w:themeColor="text1"/>
          <w:lang w:val="en-US"/>
        </w:rPr>
        <w:t xml:space="preserve">, </w:t>
      </w:r>
      <w:r w:rsidRPr="008523DB">
        <w:rPr>
          <w:b/>
          <w:bCs/>
          <w:color w:val="000000" w:themeColor="text1"/>
          <w:lang w:val="en-US"/>
        </w:rPr>
        <w:t>D</w:t>
      </w:r>
      <w:r w:rsidRPr="008523DB">
        <w:rPr>
          <w:color w:val="000000" w:themeColor="text1"/>
          <w:lang w:val="en-US"/>
        </w:rPr>
        <w:t>) Serum biomarker levels (</w:t>
      </w:r>
      <w:r w:rsidRPr="008523DB">
        <w:rPr>
          <w:b/>
          <w:bCs/>
          <w:color w:val="000000" w:themeColor="text1"/>
          <w:lang w:val="en-US"/>
        </w:rPr>
        <w:t>C</w:t>
      </w:r>
      <w:r w:rsidRPr="008523DB">
        <w:rPr>
          <w:color w:val="000000" w:themeColor="text1"/>
          <w:lang w:val="en-US"/>
        </w:rPr>
        <w:t>) and blood cell counts (</w:t>
      </w:r>
      <w:r w:rsidRPr="008523DB">
        <w:rPr>
          <w:b/>
          <w:bCs/>
          <w:color w:val="000000" w:themeColor="text1"/>
          <w:lang w:val="en-US"/>
        </w:rPr>
        <w:t>D</w:t>
      </w:r>
      <w:r w:rsidRPr="008523DB">
        <w:rPr>
          <w:color w:val="000000" w:themeColor="text1"/>
          <w:lang w:val="en-US"/>
        </w:rPr>
        <w:t>) which do not significantly support patient clustering at screening visit. Data were analyzed by Kruskal-Wallis followed by Dunn’s multiple comparison (</w:t>
      </w:r>
      <w:r w:rsidRPr="008523DB">
        <w:rPr>
          <w:b/>
          <w:bCs/>
          <w:color w:val="000000" w:themeColor="text1"/>
          <w:lang w:val="en-US"/>
        </w:rPr>
        <w:t>B</w:t>
      </w:r>
      <w:r w:rsidRPr="008523DB">
        <w:rPr>
          <w:color w:val="000000" w:themeColor="text1"/>
          <w:lang w:val="en-US"/>
        </w:rPr>
        <w:t xml:space="preserve">, </w:t>
      </w:r>
      <w:r w:rsidRPr="008523DB">
        <w:rPr>
          <w:b/>
          <w:bCs/>
          <w:color w:val="000000" w:themeColor="text1"/>
          <w:lang w:val="en-US"/>
        </w:rPr>
        <w:t>C</w:t>
      </w:r>
      <w:r w:rsidRPr="008523DB">
        <w:rPr>
          <w:color w:val="000000" w:themeColor="text1"/>
          <w:lang w:val="en-US"/>
        </w:rPr>
        <w:t>) or Mann-Whitney U test test (</w:t>
      </w:r>
      <w:r w:rsidRPr="008523DB">
        <w:rPr>
          <w:b/>
          <w:bCs/>
          <w:color w:val="000000" w:themeColor="text1"/>
          <w:lang w:val="en-US"/>
        </w:rPr>
        <w:t>D</w:t>
      </w:r>
      <w:r w:rsidRPr="008523DB">
        <w:rPr>
          <w:color w:val="000000" w:themeColor="text1"/>
          <w:lang w:val="en-US"/>
        </w:rPr>
        <w:t xml:space="preserve">). </w:t>
      </w:r>
      <w:r w:rsidRPr="008523DB">
        <w:rPr>
          <w:color w:val="000000" w:themeColor="text1"/>
        </w:rPr>
        <w:t>* =p&lt;0.05; ** =p&lt;0.01.</w:t>
      </w:r>
    </w:p>
    <w:p w:rsidR="00C96E20" w:rsidRPr="008523DB" w:rsidRDefault="00C96E20" w:rsidP="00C96E20">
      <w:pPr>
        <w:spacing w:line="480" w:lineRule="auto"/>
        <w:jc w:val="both"/>
        <w:rPr>
          <w:color w:val="000000" w:themeColor="text1"/>
          <w:lang w:val="en-US"/>
        </w:rPr>
        <w:sectPr w:rsidR="00C96E20" w:rsidRPr="008523DB" w:rsidSect="00974208">
          <w:pgSz w:w="16840" w:h="11900" w:orient="landscape"/>
          <w:pgMar w:top="1417" w:right="1134" w:bottom="1417" w:left="1417" w:header="708" w:footer="708" w:gutter="0"/>
          <w:cols w:space="708"/>
          <w:docGrid w:linePitch="360"/>
        </w:sectPr>
      </w:pPr>
    </w:p>
    <w:p w:rsidR="00C96E20" w:rsidRPr="008523DB" w:rsidRDefault="00C96E20" w:rsidP="00C96E20">
      <w:pPr>
        <w:spacing w:line="480" w:lineRule="auto"/>
        <w:rPr>
          <w:color w:val="000000" w:themeColor="text1"/>
        </w:rPr>
      </w:pPr>
      <w:r w:rsidRPr="008523DB">
        <w:rPr>
          <w:noProof/>
          <w:color w:val="000000" w:themeColor="text1"/>
          <w:lang w:val="en-US" w:eastAsia="en-US"/>
        </w:rPr>
        <w:lastRenderedPageBreak/>
        <w:drawing>
          <wp:inline distT="0" distB="0" distL="0" distR="0" wp14:anchorId="6BCD11ED" wp14:editId="353595F4">
            <wp:extent cx="5756910" cy="1139483"/>
            <wp:effectExtent l="0" t="0" r="0" b="381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ic:nvPicPr>
                  <pic:blipFill rotWithShape="1">
                    <a:blip r:embed="rId9" cstate="print">
                      <a:extLst>
                        <a:ext uri="{28A0092B-C50C-407E-A947-70E740481C1C}">
                          <a14:useLocalDpi xmlns:a14="http://schemas.microsoft.com/office/drawing/2010/main" val="0"/>
                        </a:ext>
                      </a:extLst>
                    </a:blip>
                    <a:srcRect b="52224"/>
                    <a:stretch/>
                  </pic:blipFill>
                  <pic:spPr bwMode="auto">
                    <a:xfrm>
                      <a:off x="0" y="0"/>
                      <a:ext cx="5756910" cy="1139483"/>
                    </a:xfrm>
                    <a:prstGeom prst="rect">
                      <a:avLst/>
                    </a:prstGeom>
                    <a:ln>
                      <a:noFill/>
                    </a:ln>
                    <a:extLst>
                      <a:ext uri="{53640926-AAD7-44D8-BBD7-CCE9431645EC}">
                        <a14:shadowObscured xmlns:a14="http://schemas.microsoft.com/office/drawing/2010/main"/>
                      </a:ext>
                    </a:extLst>
                  </pic:spPr>
                </pic:pic>
              </a:graphicData>
            </a:graphic>
          </wp:inline>
        </w:drawing>
      </w:r>
    </w:p>
    <w:p w:rsidR="00C96E20" w:rsidRPr="008523DB" w:rsidRDefault="00C96E20" w:rsidP="00C96E20">
      <w:pPr>
        <w:spacing w:line="480" w:lineRule="auto"/>
        <w:jc w:val="both"/>
        <w:rPr>
          <w:color w:val="000000" w:themeColor="text1"/>
        </w:rPr>
      </w:pPr>
      <w:r w:rsidRPr="008523DB">
        <w:rPr>
          <w:b/>
          <w:bCs/>
          <w:color w:val="000000" w:themeColor="text1"/>
          <w:lang w:val="en-US"/>
        </w:rPr>
        <w:t>Figure S2. IL-Ra and inflammatory parameter levels in course of anakinra.</w:t>
      </w:r>
      <w:r w:rsidRPr="008523DB">
        <w:rPr>
          <w:color w:val="000000" w:themeColor="text1"/>
          <w:lang w:val="en-US"/>
        </w:rPr>
        <w:t xml:space="preserve"> Data show cumulative (left panels) or individual analyses (right panels). Dashed lines indicate respective pediatric healthy control (n=4) medians. Data were analyzed by Kruskal-Wallis followed by Dunn’s multiple comparison test (right panels) or Friedmann’s multiple comparison test for paired samples (left panels). * =p&lt;0.05; ** =p&lt;0.01; *** =p&lt;0.001</w:t>
      </w:r>
    </w:p>
    <w:p w:rsidR="00C96E20" w:rsidRPr="008523DB" w:rsidRDefault="00C96E20" w:rsidP="00C96E20">
      <w:pPr>
        <w:rPr>
          <w:color w:val="000000" w:themeColor="text1"/>
        </w:rPr>
      </w:pPr>
      <w:r w:rsidRPr="008523DB">
        <w:rPr>
          <w:color w:val="000000" w:themeColor="text1"/>
        </w:rPr>
        <w:br w:type="page"/>
      </w:r>
    </w:p>
    <w:p w:rsidR="00C96E20" w:rsidRPr="008523DB" w:rsidRDefault="00C96E20" w:rsidP="00C96E20">
      <w:pPr>
        <w:spacing w:line="480" w:lineRule="auto"/>
        <w:rPr>
          <w:color w:val="000000" w:themeColor="text1"/>
        </w:rPr>
      </w:pPr>
      <w:r w:rsidRPr="008523DB">
        <w:rPr>
          <w:noProof/>
          <w:color w:val="000000" w:themeColor="text1"/>
          <w:lang w:val="en-US" w:eastAsia="en-US"/>
        </w:rPr>
        <w:lastRenderedPageBreak/>
        <w:drawing>
          <wp:inline distT="0" distB="0" distL="0" distR="0" wp14:anchorId="63C677FF" wp14:editId="4FF660FB">
            <wp:extent cx="5756910" cy="834644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a:blip r:embed="rId10">
                      <a:extLst>
                        <a:ext uri="{28A0092B-C50C-407E-A947-70E740481C1C}">
                          <a14:useLocalDpi xmlns:a14="http://schemas.microsoft.com/office/drawing/2010/main" val="0"/>
                        </a:ext>
                      </a:extLst>
                    </a:blip>
                    <a:stretch>
                      <a:fillRect/>
                    </a:stretch>
                  </pic:blipFill>
                  <pic:spPr>
                    <a:xfrm>
                      <a:off x="0" y="0"/>
                      <a:ext cx="5756910" cy="8346440"/>
                    </a:xfrm>
                    <a:prstGeom prst="rect">
                      <a:avLst/>
                    </a:prstGeom>
                  </pic:spPr>
                </pic:pic>
              </a:graphicData>
            </a:graphic>
          </wp:inline>
        </w:drawing>
      </w:r>
    </w:p>
    <w:p w:rsidR="00C96E20" w:rsidRPr="008523DB" w:rsidRDefault="00C96E20" w:rsidP="00C96E20">
      <w:pPr>
        <w:spacing w:line="480" w:lineRule="auto"/>
        <w:jc w:val="both"/>
        <w:rPr>
          <w:color w:val="000000" w:themeColor="text1"/>
          <w:lang w:val="en-US"/>
        </w:rPr>
      </w:pPr>
      <w:r w:rsidRPr="008523DB">
        <w:rPr>
          <w:b/>
          <w:bCs/>
          <w:color w:val="000000" w:themeColor="text1"/>
          <w:lang w:val="en-US"/>
        </w:rPr>
        <w:t>Figure S3. Serum biomarker levels</w:t>
      </w:r>
      <w:r w:rsidRPr="008523DB">
        <w:rPr>
          <w:color w:val="000000" w:themeColor="text1"/>
          <w:lang w:val="en-US"/>
        </w:rPr>
        <w:t xml:space="preserve"> </w:t>
      </w:r>
      <w:r w:rsidRPr="008523DB">
        <w:rPr>
          <w:b/>
          <w:bCs/>
          <w:color w:val="000000" w:themeColor="text1"/>
          <w:lang w:val="en-US"/>
        </w:rPr>
        <w:t>at d3 visit.</w:t>
      </w:r>
      <w:r w:rsidRPr="008523DB">
        <w:rPr>
          <w:color w:val="000000" w:themeColor="text1"/>
          <w:lang w:val="en-US"/>
        </w:rPr>
        <w:t xml:space="preserve"> (</w:t>
      </w:r>
      <w:r w:rsidRPr="008523DB">
        <w:rPr>
          <w:b/>
          <w:bCs/>
          <w:color w:val="000000" w:themeColor="text1"/>
          <w:lang w:val="en-US"/>
        </w:rPr>
        <w:t>A</w:t>
      </w:r>
      <w:r w:rsidRPr="008523DB">
        <w:rPr>
          <w:color w:val="000000" w:themeColor="text1"/>
          <w:lang w:val="en-US"/>
        </w:rPr>
        <w:t>) Serum biomarkers which support patient clustering at screening visit on MFI but not absolute concentration level. (</w:t>
      </w:r>
      <w:r w:rsidRPr="008523DB">
        <w:rPr>
          <w:b/>
          <w:bCs/>
          <w:color w:val="000000" w:themeColor="text1"/>
          <w:lang w:val="en-US"/>
        </w:rPr>
        <w:t>B</w:t>
      </w:r>
      <w:r w:rsidRPr="008523DB">
        <w:rPr>
          <w:color w:val="000000" w:themeColor="text1"/>
          <w:lang w:val="en-US"/>
        </w:rPr>
        <w:t xml:space="preserve">, </w:t>
      </w:r>
      <w:r w:rsidRPr="008523DB">
        <w:rPr>
          <w:b/>
          <w:bCs/>
          <w:color w:val="000000" w:themeColor="text1"/>
          <w:lang w:val="en-US"/>
        </w:rPr>
        <w:t>C</w:t>
      </w:r>
      <w:r w:rsidRPr="008523DB">
        <w:rPr>
          <w:color w:val="000000" w:themeColor="text1"/>
          <w:lang w:val="en-US"/>
        </w:rPr>
        <w:t xml:space="preserve">) Serum </w:t>
      </w:r>
      <w:r w:rsidRPr="008523DB">
        <w:rPr>
          <w:color w:val="000000" w:themeColor="text1"/>
          <w:lang w:val="en-US"/>
        </w:rPr>
        <w:lastRenderedPageBreak/>
        <w:t>biomarker levels (</w:t>
      </w:r>
      <w:r w:rsidRPr="008523DB">
        <w:rPr>
          <w:b/>
          <w:bCs/>
          <w:color w:val="000000" w:themeColor="text1"/>
          <w:lang w:val="en-US"/>
        </w:rPr>
        <w:t>B</w:t>
      </w:r>
      <w:r w:rsidRPr="008523DB">
        <w:rPr>
          <w:color w:val="000000" w:themeColor="text1"/>
          <w:lang w:val="en-US"/>
        </w:rPr>
        <w:t>) and blood cell counts (</w:t>
      </w:r>
      <w:r w:rsidRPr="008523DB">
        <w:rPr>
          <w:b/>
          <w:bCs/>
          <w:color w:val="000000" w:themeColor="text1"/>
          <w:lang w:val="en-US"/>
        </w:rPr>
        <w:t>C</w:t>
      </w:r>
      <w:r w:rsidRPr="008523DB">
        <w:rPr>
          <w:color w:val="000000" w:themeColor="text1"/>
          <w:lang w:val="en-US"/>
        </w:rPr>
        <w:t>) which do not significantly support patient clustering at screening visit. Color coding of patients informs on the need to escalate anakinra dosage according to figure 2F. Data were analyzed by Kruskal-Wallis followed by Dunn’s multiple comparison (</w:t>
      </w:r>
      <w:r w:rsidRPr="008523DB">
        <w:rPr>
          <w:b/>
          <w:bCs/>
          <w:color w:val="000000" w:themeColor="text1"/>
          <w:lang w:val="en-US"/>
        </w:rPr>
        <w:t>A</w:t>
      </w:r>
      <w:r w:rsidRPr="008523DB">
        <w:rPr>
          <w:color w:val="000000" w:themeColor="text1"/>
          <w:lang w:val="en-US"/>
        </w:rPr>
        <w:t xml:space="preserve">, </w:t>
      </w:r>
      <w:r w:rsidRPr="008523DB">
        <w:rPr>
          <w:b/>
          <w:bCs/>
          <w:color w:val="000000" w:themeColor="text1"/>
          <w:lang w:val="en-US"/>
        </w:rPr>
        <w:t>B</w:t>
      </w:r>
      <w:r w:rsidRPr="008523DB">
        <w:rPr>
          <w:color w:val="000000" w:themeColor="text1"/>
          <w:lang w:val="en-US"/>
        </w:rPr>
        <w:t>) or Mann-Whitney U test (</w:t>
      </w:r>
      <w:r w:rsidRPr="008523DB">
        <w:rPr>
          <w:b/>
          <w:bCs/>
          <w:color w:val="000000" w:themeColor="text1"/>
          <w:lang w:val="en-US"/>
        </w:rPr>
        <w:t>C</w:t>
      </w:r>
      <w:r w:rsidRPr="008523DB">
        <w:rPr>
          <w:color w:val="000000" w:themeColor="text1"/>
          <w:lang w:val="en-US"/>
        </w:rPr>
        <w:t xml:space="preserve">). </w:t>
      </w:r>
      <w:r w:rsidRPr="008523DB">
        <w:rPr>
          <w:color w:val="000000" w:themeColor="text1"/>
        </w:rPr>
        <w:t>* =p&lt;0.05; ** =p&lt;0.01.</w:t>
      </w:r>
    </w:p>
    <w:p w:rsidR="00C96E20" w:rsidRPr="008523DB" w:rsidRDefault="00C96E20" w:rsidP="00C96E20">
      <w:pPr>
        <w:rPr>
          <w:color w:val="000000" w:themeColor="text1"/>
        </w:rPr>
      </w:pPr>
      <w:r w:rsidRPr="008523DB">
        <w:rPr>
          <w:color w:val="000000" w:themeColor="text1"/>
        </w:rPr>
        <w:br w:type="page"/>
      </w:r>
    </w:p>
    <w:p w:rsidR="00C96E20" w:rsidRPr="008523DB" w:rsidRDefault="00C96E20" w:rsidP="00C96E20">
      <w:pPr>
        <w:spacing w:line="480" w:lineRule="auto"/>
        <w:rPr>
          <w:color w:val="000000" w:themeColor="text1"/>
        </w:rPr>
      </w:pPr>
      <w:r w:rsidRPr="008523DB">
        <w:rPr>
          <w:noProof/>
          <w:color w:val="000000" w:themeColor="text1"/>
          <w:lang w:val="en-US" w:eastAsia="en-US"/>
        </w:rPr>
        <w:lastRenderedPageBreak/>
        <w:drawing>
          <wp:inline distT="0" distB="0" distL="0" distR="0" wp14:anchorId="39F353E0" wp14:editId="46E59848">
            <wp:extent cx="5756910" cy="5510530"/>
            <wp:effectExtent l="0" t="0" r="0" b="127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a:blip r:embed="rId11">
                      <a:extLst>
                        <a:ext uri="{28A0092B-C50C-407E-A947-70E740481C1C}">
                          <a14:useLocalDpi xmlns:a14="http://schemas.microsoft.com/office/drawing/2010/main" val="0"/>
                        </a:ext>
                      </a:extLst>
                    </a:blip>
                    <a:stretch>
                      <a:fillRect/>
                    </a:stretch>
                  </pic:blipFill>
                  <pic:spPr>
                    <a:xfrm>
                      <a:off x="0" y="0"/>
                      <a:ext cx="5756910" cy="5510530"/>
                    </a:xfrm>
                    <a:prstGeom prst="rect">
                      <a:avLst/>
                    </a:prstGeom>
                  </pic:spPr>
                </pic:pic>
              </a:graphicData>
            </a:graphic>
          </wp:inline>
        </w:drawing>
      </w:r>
    </w:p>
    <w:p w:rsidR="00C96E20" w:rsidRPr="008523DB" w:rsidRDefault="00C96E20" w:rsidP="00C96E20">
      <w:pPr>
        <w:spacing w:line="480" w:lineRule="auto"/>
        <w:jc w:val="both"/>
        <w:rPr>
          <w:color w:val="000000" w:themeColor="text1"/>
          <w:lang w:val="en-US"/>
        </w:rPr>
      </w:pPr>
      <w:r w:rsidRPr="008523DB">
        <w:rPr>
          <w:b/>
          <w:bCs/>
          <w:color w:val="000000" w:themeColor="text1"/>
          <w:lang w:val="en-US"/>
        </w:rPr>
        <w:t>Figure S4. Serum biomarker levels</w:t>
      </w:r>
      <w:r w:rsidRPr="008523DB">
        <w:rPr>
          <w:color w:val="000000" w:themeColor="text1"/>
          <w:lang w:val="en-US"/>
        </w:rPr>
        <w:t xml:space="preserve"> </w:t>
      </w:r>
      <w:r w:rsidRPr="008523DB">
        <w:rPr>
          <w:b/>
          <w:bCs/>
          <w:color w:val="000000" w:themeColor="text1"/>
          <w:lang w:val="en-US"/>
        </w:rPr>
        <w:t>at d14 visit.</w:t>
      </w:r>
      <w:r w:rsidRPr="008523DB">
        <w:rPr>
          <w:color w:val="000000" w:themeColor="text1"/>
          <w:lang w:val="en-US"/>
        </w:rPr>
        <w:t xml:space="preserve"> (</w:t>
      </w:r>
      <w:r w:rsidRPr="008523DB">
        <w:rPr>
          <w:b/>
          <w:bCs/>
          <w:color w:val="000000" w:themeColor="text1"/>
          <w:lang w:val="en-US"/>
        </w:rPr>
        <w:t>A</w:t>
      </w:r>
      <w:r w:rsidRPr="008523DB">
        <w:rPr>
          <w:color w:val="000000" w:themeColor="text1"/>
          <w:lang w:val="en-US"/>
        </w:rPr>
        <w:t>) Ward’s unsupervised hierarchical clustering of serum biomarker levels (excluding IL1-Ra) quantified at d14 visit. Color coding indicates Z-score.</w:t>
      </w:r>
    </w:p>
    <w:p w:rsidR="00C96E20" w:rsidRPr="008523DB" w:rsidRDefault="00C96E20" w:rsidP="00C96E20">
      <w:pPr>
        <w:rPr>
          <w:color w:val="000000" w:themeColor="text1"/>
          <w:lang w:val="en-US"/>
        </w:rPr>
      </w:pPr>
      <w:r w:rsidRPr="008523DB">
        <w:rPr>
          <w:color w:val="000000" w:themeColor="text1"/>
          <w:lang w:val="en-US"/>
        </w:rPr>
        <w:br w:type="page"/>
      </w:r>
    </w:p>
    <w:p w:rsidR="00C96E20" w:rsidRPr="008523DB" w:rsidRDefault="00C96E20" w:rsidP="00C96E20">
      <w:pPr>
        <w:spacing w:line="480" w:lineRule="auto"/>
        <w:jc w:val="both"/>
        <w:rPr>
          <w:color w:val="000000" w:themeColor="text1"/>
        </w:rPr>
      </w:pPr>
      <w:r w:rsidRPr="008523DB">
        <w:rPr>
          <w:noProof/>
          <w:color w:val="000000" w:themeColor="text1"/>
          <w:lang w:val="en-US" w:eastAsia="en-US"/>
        </w:rPr>
        <w:lastRenderedPageBreak/>
        <w:drawing>
          <wp:inline distT="0" distB="0" distL="0" distR="0" wp14:anchorId="710FEF2D" wp14:editId="0B577634">
            <wp:extent cx="5756910" cy="3247390"/>
            <wp:effectExtent l="0" t="0" r="0" b="381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pic:cNvPicPr/>
                  </pic:nvPicPr>
                  <pic:blipFill>
                    <a:blip r:embed="rId12">
                      <a:extLst>
                        <a:ext uri="{28A0092B-C50C-407E-A947-70E740481C1C}">
                          <a14:useLocalDpi xmlns:a14="http://schemas.microsoft.com/office/drawing/2010/main" val="0"/>
                        </a:ext>
                      </a:extLst>
                    </a:blip>
                    <a:stretch>
                      <a:fillRect/>
                    </a:stretch>
                  </pic:blipFill>
                  <pic:spPr>
                    <a:xfrm>
                      <a:off x="0" y="0"/>
                      <a:ext cx="5756910" cy="3247390"/>
                    </a:xfrm>
                    <a:prstGeom prst="rect">
                      <a:avLst/>
                    </a:prstGeom>
                  </pic:spPr>
                </pic:pic>
              </a:graphicData>
            </a:graphic>
          </wp:inline>
        </w:drawing>
      </w:r>
    </w:p>
    <w:p w:rsidR="00C96E20" w:rsidRDefault="00C96E20" w:rsidP="00C96E20">
      <w:pPr>
        <w:spacing w:line="480" w:lineRule="auto"/>
        <w:jc w:val="both"/>
        <w:rPr>
          <w:color w:val="000000" w:themeColor="text1"/>
          <w:lang w:val="en-US"/>
        </w:rPr>
      </w:pPr>
      <w:r w:rsidRPr="008523DB">
        <w:rPr>
          <w:b/>
          <w:bCs/>
          <w:color w:val="000000" w:themeColor="text1"/>
          <w:lang w:val="en-US"/>
        </w:rPr>
        <w:t>Figure S5. Predicition of anakinra dose adjustment in IVIG-resistant KD.</w:t>
      </w:r>
      <w:r w:rsidRPr="008523DB">
        <w:rPr>
          <w:color w:val="000000" w:themeColor="text1"/>
          <w:lang w:val="en-US"/>
        </w:rPr>
        <w:t xml:space="preserve"> (A, C) Selected serum biomarker (A) or inflammatory parameter (C) levels at screening visit, grouped according to the necessity to escalate anakinra dosage during the first 3 days of treatment. Patients in red indicate those who previously received glucocorticosteroids. (B, D) Receiver operating curve analyses of selected biomarkers (B) or inflammatory parameters (D) to predict the necessity to escalate anakinra dosage. Data were analyzed by Kruskal-Wallis followed by Dunn’s multiple comparison (</w:t>
      </w:r>
      <w:r w:rsidRPr="008523DB">
        <w:rPr>
          <w:b/>
          <w:bCs/>
          <w:color w:val="000000" w:themeColor="text1"/>
          <w:lang w:val="en-US"/>
        </w:rPr>
        <w:t>A</w:t>
      </w:r>
      <w:r w:rsidRPr="008523DB">
        <w:rPr>
          <w:color w:val="000000" w:themeColor="text1"/>
          <w:lang w:val="en-US"/>
        </w:rPr>
        <w:t>) or Mann-Whitney U test (</w:t>
      </w:r>
      <w:r w:rsidRPr="008523DB">
        <w:rPr>
          <w:b/>
          <w:bCs/>
          <w:color w:val="000000" w:themeColor="text1"/>
          <w:lang w:val="en-US"/>
        </w:rPr>
        <w:t>C</w:t>
      </w:r>
      <w:r w:rsidRPr="008523DB">
        <w:rPr>
          <w:color w:val="000000" w:themeColor="text1"/>
          <w:lang w:val="en-US"/>
        </w:rPr>
        <w:t>). * =p&lt;0.05; ** =p&lt;0.01.</w:t>
      </w:r>
    </w:p>
    <w:p w:rsidR="00C96E20" w:rsidRDefault="00C96E20" w:rsidP="00C96E20">
      <w:pPr>
        <w:rPr>
          <w:color w:val="000000" w:themeColor="text1"/>
          <w:lang w:val="en-US"/>
        </w:rPr>
      </w:pPr>
      <w:r>
        <w:rPr>
          <w:color w:val="000000" w:themeColor="text1"/>
          <w:lang w:val="en-US"/>
        </w:rPr>
        <w:br w:type="page"/>
      </w:r>
    </w:p>
    <w:p w:rsidR="00C96E20" w:rsidRPr="00F127AB" w:rsidRDefault="00C96E20" w:rsidP="00C96E20">
      <w:pPr>
        <w:spacing w:line="480" w:lineRule="auto"/>
        <w:jc w:val="both"/>
        <w:rPr>
          <w:color w:val="000000" w:themeColor="text1"/>
          <w:sz w:val="28"/>
          <w:szCs w:val="28"/>
          <w:lang w:val="en-US"/>
        </w:rPr>
      </w:pPr>
      <w:r w:rsidRPr="00F127AB">
        <w:rPr>
          <w:color w:val="000000" w:themeColor="text1"/>
          <w:sz w:val="28"/>
          <w:szCs w:val="28"/>
          <w:lang w:val="en-US"/>
        </w:rPr>
        <w:lastRenderedPageBreak/>
        <w:t>References</w:t>
      </w:r>
      <w:bookmarkStart w:id="1" w:name="_GoBack"/>
    </w:p>
    <w:bookmarkEnd w:id="1"/>
    <w:p w:rsidR="00C96E20" w:rsidRPr="00E70BE0" w:rsidRDefault="00C96E20" w:rsidP="00C96E20">
      <w:pPr>
        <w:pStyle w:val="EndNoteBibliography"/>
        <w:rPr>
          <w:noProof/>
        </w:rPr>
      </w:pPr>
      <w:r>
        <w:rPr>
          <w:b/>
          <w:bCs/>
          <w:color w:val="000000" w:themeColor="text1"/>
          <w:lang w:val="en-US"/>
        </w:rPr>
        <w:fldChar w:fldCharType="begin"/>
      </w:r>
      <w:r>
        <w:rPr>
          <w:b/>
          <w:bCs/>
          <w:color w:val="000000" w:themeColor="text1"/>
          <w:lang w:val="en-US"/>
        </w:rPr>
        <w:instrText xml:space="preserve"> ADDIN EN.REFLIST </w:instrText>
      </w:r>
      <w:r>
        <w:rPr>
          <w:b/>
          <w:bCs/>
          <w:color w:val="000000" w:themeColor="text1"/>
          <w:lang w:val="en-US"/>
        </w:rPr>
        <w:fldChar w:fldCharType="separate"/>
      </w:r>
      <w:r w:rsidRPr="00E70BE0">
        <w:rPr>
          <w:noProof/>
        </w:rPr>
        <w:t>1.</w:t>
      </w:r>
      <w:r w:rsidRPr="00E70BE0">
        <w:rPr>
          <w:noProof/>
        </w:rPr>
        <w:tab/>
        <w:t>Armaroli G, Verweyen E, Pretzer C, Kessel K, Hirono K, Ichida F, et al. Monocyte-Derived Interleukin-1beta As the Driver of S100A12-Induced Sterile Inflammatory Activation of Human Coronary Artery Endothelial Cells: Implications for the Pathogenesis of Kawasaki Disease. Arthritis Rheumatol. 2019;71(5):792-804.</w:t>
      </w:r>
    </w:p>
    <w:p w:rsidR="00C96E20" w:rsidRPr="008523DB" w:rsidRDefault="00C96E20" w:rsidP="00C96E20">
      <w:pPr>
        <w:spacing w:line="480" w:lineRule="auto"/>
        <w:jc w:val="both"/>
        <w:rPr>
          <w:b/>
          <w:bCs/>
          <w:color w:val="000000" w:themeColor="text1"/>
          <w:lang w:val="en-US"/>
        </w:rPr>
      </w:pPr>
      <w:r>
        <w:rPr>
          <w:b/>
          <w:bCs/>
          <w:color w:val="000000" w:themeColor="text1"/>
          <w:lang w:val="en-US"/>
        </w:rPr>
        <w:fldChar w:fldCharType="end"/>
      </w:r>
    </w:p>
    <w:p w:rsidR="00C96E20" w:rsidRPr="008523DB" w:rsidRDefault="00C96E20" w:rsidP="00C96E20">
      <w:pPr>
        <w:spacing w:line="480" w:lineRule="auto"/>
        <w:jc w:val="both"/>
        <w:rPr>
          <w:b/>
          <w:bCs/>
          <w:color w:val="000000" w:themeColor="text1"/>
          <w:lang w:val="en-US"/>
        </w:rPr>
      </w:pPr>
    </w:p>
    <w:p w:rsidR="00000F57" w:rsidRDefault="00C96E20"/>
    <w:sectPr w:rsidR="00000F57" w:rsidSect="008D1741">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kit-standard">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5182604"/>
      <w:docPartObj>
        <w:docPartGallery w:val="Page Numbers (Bottom of Page)"/>
        <w:docPartUnique/>
      </w:docPartObj>
    </w:sdtPr>
    <w:sdtEndPr>
      <w:rPr>
        <w:rStyle w:val="PageNumber"/>
      </w:rPr>
    </w:sdtEndPr>
    <w:sdtContent>
      <w:p w:rsidR="00C047CE" w:rsidRDefault="00C96E20" w:rsidP="004A45B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047CE" w:rsidRDefault="00C96E20" w:rsidP="00EA4E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2799393"/>
      <w:docPartObj>
        <w:docPartGallery w:val="Page Numbers (Bottom of Page)"/>
        <w:docPartUnique/>
      </w:docPartObj>
    </w:sdtPr>
    <w:sdtEndPr>
      <w:rPr>
        <w:rStyle w:val="PageNumber"/>
      </w:rPr>
    </w:sdtEndPr>
    <w:sdtContent>
      <w:p w:rsidR="00C047CE" w:rsidRDefault="00C96E20" w:rsidP="004A45B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rsidR="00C047CE" w:rsidRDefault="00C96E20" w:rsidP="00EA4ED4">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E20"/>
    <w:rsid w:val="0007695B"/>
    <w:rsid w:val="005615C6"/>
    <w:rsid w:val="007D4061"/>
    <w:rsid w:val="008B4EED"/>
    <w:rsid w:val="00C96E20"/>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A14152-7499-43FA-9559-60E4B5246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6E20"/>
    <w:pPr>
      <w:spacing w:after="0" w:line="240" w:lineRule="auto"/>
    </w:pPr>
    <w:rPr>
      <w:rFonts w:ascii="Times New Roman" w:eastAsia="Times New Roman" w:hAnsi="Times New Roman" w:cs="Times New Roman"/>
      <w:sz w:val="24"/>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6E20"/>
    <w:pPr>
      <w:spacing w:before="100" w:beforeAutospacing="1" w:after="100" w:afterAutospacing="1"/>
    </w:pPr>
  </w:style>
  <w:style w:type="character" w:styleId="Hyperlink">
    <w:name w:val="Hyperlink"/>
    <w:basedOn w:val="DefaultParagraphFont"/>
    <w:uiPriority w:val="99"/>
    <w:unhideWhenUsed/>
    <w:rsid w:val="00C96E20"/>
    <w:rPr>
      <w:color w:val="0563C1" w:themeColor="hyperlink"/>
      <w:u w:val="single"/>
    </w:rPr>
  </w:style>
  <w:style w:type="paragraph" w:styleId="Footer">
    <w:name w:val="footer"/>
    <w:basedOn w:val="Normal"/>
    <w:link w:val="FooterChar"/>
    <w:uiPriority w:val="99"/>
    <w:unhideWhenUsed/>
    <w:rsid w:val="00C96E20"/>
    <w:pPr>
      <w:tabs>
        <w:tab w:val="center" w:pos="4536"/>
        <w:tab w:val="right" w:pos="9072"/>
      </w:tabs>
    </w:pPr>
  </w:style>
  <w:style w:type="character" w:customStyle="1" w:styleId="FooterChar">
    <w:name w:val="Footer Char"/>
    <w:basedOn w:val="DefaultParagraphFont"/>
    <w:link w:val="Footer"/>
    <w:uiPriority w:val="99"/>
    <w:rsid w:val="00C96E20"/>
    <w:rPr>
      <w:rFonts w:ascii="Times New Roman" w:eastAsia="Times New Roman" w:hAnsi="Times New Roman" w:cs="Times New Roman"/>
      <w:sz w:val="24"/>
      <w:szCs w:val="24"/>
      <w:lang w:val="de-DE" w:eastAsia="de-DE"/>
    </w:rPr>
  </w:style>
  <w:style w:type="character" w:styleId="PageNumber">
    <w:name w:val="page number"/>
    <w:basedOn w:val="DefaultParagraphFont"/>
    <w:uiPriority w:val="99"/>
    <w:semiHidden/>
    <w:unhideWhenUsed/>
    <w:rsid w:val="00C96E20"/>
  </w:style>
  <w:style w:type="paragraph" w:customStyle="1" w:styleId="EndNoteBibliography">
    <w:name w:val="EndNote Bibliography"/>
    <w:basedOn w:val="Normal"/>
    <w:link w:val="EndNoteBibliographyZchn"/>
    <w:rsid w:val="00C96E20"/>
    <w:pPr>
      <w:spacing w:line="480" w:lineRule="auto"/>
      <w:jc w:val="both"/>
    </w:pPr>
  </w:style>
  <w:style w:type="character" w:customStyle="1" w:styleId="EndNoteBibliographyZchn">
    <w:name w:val="EndNote Bibliography Zchn"/>
    <w:basedOn w:val="DefaultParagraphFont"/>
    <w:link w:val="EndNoteBibliography"/>
    <w:rsid w:val="00C96E20"/>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image" Target="media/image5.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emf"/><Relationship Id="rId5" Type="http://schemas.openxmlformats.org/officeDocument/2006/relationships/hyperlink" Target="mailto:" TargetMode="External"/><Relationship Id="rId10" Type="http://schemas.openxmlformats.org/officeDocument/2006/relationships/image" Target="media/image3.emf"/><Relationship Id="rId4" Type="http://schemas.openxmlformats.org/officeDocument/2006/relationships/hyperlink" Target="mailto:christoph.kessel@uni-muenster.de" TargetMode="Externa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972</Words>
  <Characters>5543</Characters>
  <Application>Microsoft Office Word</Application>
  <DocSecurity>0</DocSecurity>
  <Lines>46</Lines>
  <Paragraphs>13</Paragraphs>
  <ScaleCrop>false</ScaleCrop>
  <Company>Springer Nature IT</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2022-01-11T13:51:00Z</dcterms:created>
  <dcterms:modified xsi:type="dcterms:W3CDTF">2022-01-11T13:51:00Z</dcterms:modified>
</cp:coreProperties>
</file>