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340" w:rsidRPr="009E3981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  <w:r w:rsidRPr="009E3981">
        <w:rPr>
          <w:rFonts w:ascii="Arial" w:hAnsi="Arial" w:cs="Arial"/>
          <w:b/>
          <w:bCs/>
          <w:color w:val="0D0D0D" w:themeColor="text1" w:themeTint="F2"/>
          <w:sz w:val="24"/>
          <w:szCs w:val="24"/>
        </w:rPr>
        <w:t xml:space="preserve">Table </w:t>
      </w:r>
      <w:r w:rsidRPr="009E3981">
        <w:rPr>
          <w:rFonts w:ascii="Arial" w:hAnsi="Arial" w:cs="Arial"/>
          <w:b/>
          <w:bCs/>
          <w:color w:val="0D0D0D" w:themeColor="text1" w:themeTint="F2"/>
          <w:sz w:val="24"/>
          <w:szCs w:val="24"/>
          <w:cs/>
        </w:rPr>
        <w:t>1</w:t>
      </w:r>
      <w:r w:rsidRPr="009E3981">
        <w:rPr>
          <w:rFonts w:ascii="Arial" w:hAnsi="Arial" w:cs="Angsana New"/>
          <w:b/>
          <w:bCs/>
          <w:color w:val="0D0D0D" w:themeColor="text1" w:themeTint="F2"/>
          <w:sz w:val="24"/>
          <w:szCs w:val="24"/>
          <w:cs/>
        </w:rPr>
        <w:t xml:space="preserve"> 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Study characteristics of case reports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>/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 xml:space="preserve">case series of combination treatment of </w:t>
      </w:r>
      <w:r w:rsidRPr="009E3981">
        <w:rPr>
          <w:rFonts w:ascii="Arial" w:hAnsi="Arial" w:cs="Arial"/>
          <w:i/>
          <w:iCs/>
          <w:color w:val="0D0D0D" w:themeColor="text1" w:themeTint="F2"/>
          <w:sz w:val="24"/>
          <w:szCs w:val="24"/>
        </w:rPr>
        <w:t>S</w:t>
      </w:r>
      <w:r w:rsidRPr="009E3981">
        <w:rPr>
          <w:rFonts w:ascii="Arial" w:hAnsi="Arial" w:cs="Angsana New"/>
          <w:i/>
          <w:iCs/>
          <w:color w:val="0D0D0D" w:themeColor="text1" w:themeTint="F2"/>
          <w:sz w:val="24"/>
          <w:szCs w:val="24"/>
          <w:cs/>
        </w:rPr>
        <w:t xml:space="preserve">. </w:t>
      </w:r>
      <w:r w:rsidRPr="009E3981">
        <w:rPr>
          <w:rFonts w:ascii="Arial" w:hAnsi="Arial" w:cs="Arial"/>
          <w:i/>
          <w:iCs/>
          <w:color w:val="0D0D0D" w:themeColor="text1" w:themeTint="F2"/>
          <w:sz w:val="24"/>
          <w:szCs w:val="24"/>
        </w:rPr>
        <w:t>maltophilia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 xml:space="preserve"> infection</w:t>
      </w:r>
    </w:p>
    <w:tbl>
      <w:tblPr>
        <w:tblStyle w:val="TableGrid"/>
        <w:tblW w:w="5000" w:type="pct"/>
        <w:tblInd w:w="-725" w:type="dxa"/>
        <w:tblLayout w:type="fixed"/>
        <w:tblLook w:val="04A0" w:firstRow="1" w:lastRow="0" w:firstColumn="1" w:lastColumn="0" w:noHBand="0" w:noVBand="1"/>
      </w:tblPr>
      <w:tblGrid>
        <w:gridCol w:w="600"/>
        <w:gridCol w:w="594"/>
        <w:gridCol w:w="511"/>
        <w:gridCol w:w="429"/>
        <w:gridCol w:w="429"/>
        <w:gridCol w:w="511"/>
        <w:gridCol w:w="759"/>
        <w:gridCol w:w="841"/>
        <w:gridCol w:w="1089"/>
        <w:gridCol w:w="1336"/>
        <w:gridCol w:w="676"/>
        <w:gridCol w:w="691"/>
        <w:gridCol w:w="884"/>
      </w:tblGrid>
      <w:tr w:rsidR="00736340" w:rsidRPr="009E3981" w:rsidTr="008C2C2C">
        <w:tc>
          <w:tcPr>
            <w:tcW w:w="862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Author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 xml:space="preserve">/ </w:t>
            </w: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Year</w:t>
            </w:r>
          </w:p>
        </w:tc>
        <w:tc>
          <w:tcPr>
            <w:tcW w:w="851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Region</w:t>
            </w:r>
          </w:p>
        </w:tc>
        <w:tc>
          <w:tcPr>
            <w:tcW w:w="708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Design</w:t>
            </w:r>
          </w:p>
        </w:tc>
        <w:tc>
          <w:tcPr>
            <w:tcW w:w="567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Sample size</w:t>
            </w:r>
          </w:p>
        </w:tc>
        <w:tc>
          <w:tcPr>
            <w:tcW w:w="567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Sex</w:t>
            </w:r>
          </w:p>
        </w:tc>
        <w:tc>
          <w:tcPr>
            <w:tcW w:w="709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Age</w:t>
            </w:r>
          </w:p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years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)</w:t>
            </w:r>
          </w:p>
        </w:tc>
        <w:tc>
          <w:tcPr>
            <w:tcW w:w="1134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Infection</w:t>
            </w:r>
          </w:p>
        </w:tc>
        <w:tc>
          <w:tcPr>
            <w:tcW w:w="1276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Antimicrobial susceptibility</w:t>
            </w:r>
          </w:p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3827" w:type="dxa"/>
            <w:gridSpan w:val="2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Details of antimicrobials</w:t>
            </w:r>
          </w:p>
        </w:tc>
        <w:tc>
          <w:tcPr>
            <w:tcW w:w="992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Treatment duration 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days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)</w:t>
            </w:r>
          </w:p>
        </w:tc>
        <w:tc>
          <w:tcPr>
            <w:tcW w:w="1017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Follow up time 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days</w:t>
            </w:r>
            <w:r w:rsidRPr="009E3981">
              <w:rPr>
                <w:rFonts w:ascii="Arial" w:hAnsi="Arial" w:cs="Angsana New"/>
                <w:b/>
                <w:bCs/>
                <w:sz w:val="14"/>
                <w:szCs w:val="18"/>
                <w:cs/>
              </w:rPr>
              <w:t>)</w:t>
            </w:r>
          </w:p>
        </w:tc>
        <w:tc>
          <w:tcPr>
            <w:tcW w:w="1350" w:type="dxa"/>
            <w:vMerge w:val="restart"/>
          </w:tcPr>
          <w:p w:rsidR="00736340" w:rsidRPr="009E3981" w:rsidRDefault="00736340" w:rsidP="008C2C2C">
            <w:pPr>
              <w:jc w:val="center"/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 xml:space="preserve">Outcome </w:t>
            </w:r>
          </w:p>
        </w:tc>
      </w:tr>
      <w:tr w:rsidR="00736340" w:rsidRPr="009E3981" w:rsidTr="008C2C2C">
        <w:tc>
          <w:tcPr>
            <w:tcW w:w="862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851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708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567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567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709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1134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1276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Combined antimicrobials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  <w:r w:rsidRPr="009E3981">
              <w:rPr>
                <w:rFonts w:ascii="Arial" w:hAnsi="Arial" w:cs="Arial"/>
                <w:b/>
                <w:bCs/>
                <w:sz w:val="14"/>
                <w:szCs w:val="18"/>
              </w:rPr>
              <w:t>Dosage regimens</w:t>
            </w:r>
          </w:p>
        </w:tc>
        <w:tc>
          <w:tcPr>
            <w:tcW w:w="992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1017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  <w:tc>
          <w:tcPr>
            <w:tcW w:w="1350" w:type="dxa"/>
            <w:vMerge/>
          </w:tcPr>
          <w:p w:rsidR="00736340" w:rsidRPr="009E3981" w:rsidRDefault="00736340" w:rsidP="008C2C2C">
            <w:pPr>
              <w:rPr>
                <w:rFonts w:ascii="Arial" w:hAnsi="Arial" w:cs="Arial"/>
                <w:b/>
                <w:bCs/>
                <w:sz w:val="14"/>
                <w:szCs w:val="18"/>
              </w:rPr>
            </w:pP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Munter, 1998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Isreael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69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Infective endocarditis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S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  <w:cs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Ciprofloxacin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+ </w:t>
            </w: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40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Died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Jae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Han, 2001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Korea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44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Infective endocarditis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Tobramycin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: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Gentamicin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Ofloxacin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Ciprofloxacin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I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+ </w:t>
            </w:r>
            <w:r w:rsidRPr="009E3981">
              <w:rPr>
                <w:rFonts w:ascii="Arial" w:hAnsi="Arial" w:cs="Arial"/>
                <w:sz w:val="14"/>
                <w:szCs w:val="18"/>
              </w:rPr>
              <w:t>Tobramycin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400 mg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80 mg IV q 8 hr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Tobramycin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7 mg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kg IV q 8 hr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42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60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Wood,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2010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USA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28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VAP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Doxycycline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Minocycline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Colistin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Doxycycline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Aerosolized COL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: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 4 mg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kg IV q 6 hr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Doxycycline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100 mg IV q 12 hr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Aerosolized COL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150 mg NB q  12 hr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14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33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Microbiological response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 xml:space="preserve">Karintha,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2011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USA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41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Keratitis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Gatifloxacin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ED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+ </w:t>
            </w:r>
            <w:r w:rsidRPr="009E3981">
              <w:rPr>
                <w:rFonts w:ascii="Arial" w:hAnsi="Arial" w:cs="Arial"/>
                <w:sz w:val="14"/>
                <w:szCs w:val="18"/>
              </w:rPr>
              <w:t>polymyxin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trimethoprim ED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Gatifloxacin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</w:t>
            </w:r>
            <w:r w:rsidRPr="009E3981">
              <w:rPr>
                <w:rFonts w:ascii="Arial" w:hAnsi="Arial" w:cs="Arial"/>
                <w:sz w:val="14"/>
                <w:szCs w:val="18"/>
              </w:rPr>
              <w:t>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3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ED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q 2 hr to left eye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polymyxin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trimethoprim 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ED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q 2 hr to left eye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10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Microbiological response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Mori,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2014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Japan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series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8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F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3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  <w:r w:rsidRPr="009E3981">
              <w:rPr>
                <w:rFonts w:ascii="Arial" w:hAnsi="Arial" w:cs="Arial"/>
                <w:sz w:val="14"/>
                <w:szCs w:val="18"/>
              </w:rPr>
              <w:t>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M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5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42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62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Hemorrhagic pneumonia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S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80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90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%) </w:t>
            </w:r>
            <w:r w:rsidRPr="009E3981">
              <w:rPr>
                <w:rFonts w:ascii="Arial" w:hAnsi="Arial" w:cs="Arial"/>
                <w:sz w:val="14"/>
                <w:szCs w:val="18"/>
              </w:rPr>
              <w:t>fluoroquinolone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(</w:t>
            </w:r>
            <w:r w:rsidRPr="009E3981">
              <w:rPr>
                <w:rFonts w:ascii="Arial" w:hAnsi="Arial" w:cs="Arial"/>
                <w:sz w:val="14"/>
                <w:szCs w:val="18"/>
              </w:rPr>
              <w:t>50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70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%)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fluoroquinolone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high dose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Fluoroquinolone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16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100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died 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Reynaud, 2015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France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81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Infective endocarditis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Moxifloxacin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Died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Abdul, 2015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Pakistan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Case report 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28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Peritonitis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Levofloxacin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Minocycline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Ceftazidime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14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180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Microbiological response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Maria, 2016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USA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19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Bacteremia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Minocycline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I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+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Aztreonaem 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avibactam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2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5 g IV q 8 hr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Aztreonaem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2 g IV q 8 hr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48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Microbiological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>Subhani,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2016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India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series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28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M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20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F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8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22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78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Infective endocarditis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CHL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KAN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COL</w:t>
            </w:r>
          </w:p>
          <w:p w:rsidR="00736340" w:rsidRPr="009E3981" w:rsidRDefault="00736340" w:rsidP="008C2C2C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CAR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KAN,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CHL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PEN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POL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CAR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STR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PEN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CAR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AMK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CAR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KAN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POL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CHL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TIC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MOX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AMC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TIM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TZP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autoSpaceDE w:val="0"/>
              <w:autoSpaceDN w:val="0"/>
              <w:adjustRightInd w:val="0"/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>SMX 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AMK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CIP then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TIM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COL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CHL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TIM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VAN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VAN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LVX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FEP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SMX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GEN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TIM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  <w:cs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</w:t>
            </w: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TZP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42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(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  <w:r w:rsidRPr="009E3981">
              <w:rPr>
                <w:rFonts w:ascii="Arial" w:hAnsi="Arial" w:cs="Arial"/>
                <w:sz w:val="14"/>
                <w:szCs w:val="18"/>
              </w:rPr>
              <w:t>, 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(</w:t>
            </w:r>
            <w:r w:rsidRPr="009E3981">
              <w:rPr>
                <w:rFonts w:ascii="Arial" w:hAnsi="Arial" w:cs="Arial"/>
                <w:sz w:val="14"/>
                <w:szCs w:val="18"/>
              </w:rPr>
              <w:t>27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(</w:t>
            </w:r>
            <w:r w:rsidRPr="009E3981">
              <w:rPr>
                <w:rFonts w:ascii="Arial" w:hAnsi="Arial" w:cs="Arial"/>
                <w:sz w:val="14"/>
                <w:szCs w:val="18"/>
              </w:rPr>
              <w:t>27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, 60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67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86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cured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28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57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died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3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.</w:t>
            </w:r>
            <w:r w:rsidRPr="009E3981">
              <w:rPr>
                <w:rFonts w:ascii="Arial" w:hAnsi="Arial" w:cs="Arial"/>
                <w:sz w:val="14"/>
                <w:szCs w:val="18"/>
              </w:rPr>
              <w:t>57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%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Satoshi, 2018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Japan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28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Bacteremia, Pneumonia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18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Died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Payen, 2019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France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series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4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56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83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VAP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2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, 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Peritonitis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CIP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CAZ,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</w:t>
            </w:r>
            <w:r w:rsidRPr="009E3981">
              <w:rPr>
                <w:rFonts w:ascii="Arial" w:hAnsi="Arial" w:cs="Arial"/>
                <w:sz w:val="14"/>
                <w:szCs w:val="18"/>
              </w:rPr>
              <w:t>tigecycline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+</w:t>
            </w:r>
            <w:r w:rsidRPr="009E3981">
              <w:rPr>
                <w:rFonts w:ascii="Arial" w:hAnsi="Arial" w:cs="Arial"/>
                <w:sz w:val="14"/>
                <w:szCs w:val="18"/>
              </w:rPr>
              <w:t>colimycin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14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176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100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had 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lastRenderedPageBreak/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100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%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 had microbiological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lastRenderedPageBreak/>
              <w:t>Stefan, 2020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Romania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report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F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61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Respiratory infection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Levofloxacin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I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COL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 + 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7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300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Clinical response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Microbiological response</w:t>
            </w:r>
          </w:p>
        </w:tc>
      </w:tr>
      <w:tr w:rsidR="00736340" w:rsidRPr="009E3981" w:rsidTr="008C2C2C">
        <w:tc>
          <w:tcPr>
            <w:tcW w:w="86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Khanum, 2020</w:t>
            </w:r>
          </w:p>
        </w:tc>
        <w:tc>
          <w:tcPr>
            <w:tcW w:w="85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Pakistan</w:t>
            </w:r>
          </w:p>
        </w:tc>
        <w:tc>
          <w:tcPr>
            <w:tcW w:w="708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Case series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</w:t>
            </w:r>
          </w:p>
        </w:tc>
        <w:tc>
          <w:tcPr>
            <w:tcW w:w="56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 xml:space="preserve">F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, M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1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)</w:t>
            </w:r>
          </w:p>
        </w:tc>
        <w:tc>
          <w:tcPr>
            <w:tcW w:w="709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60, 35</w:t>
            </w:r>
          </w:p>
        </w:tc>
        <w:tc>
          <w:tcPr>
            <w:tcW w:w="1134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Meningitis</w:t>
            </w:r>
          </w:p>
        </w:tc>
        <w:tc>
          <w:tcPr>
            <w:tcW w:w="127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Colistin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S</w:t>
            </w:r>
          </w:p>
        </w:tc>
        <w:tc>
          <w:tcPr>
            <w:tcW w:w="1701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COL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(</w:t>
            </w:r>
            <w:r w:rsidRPr="009E3981">
              <w:rPr>
                <w:rFonts w:ascii="Arial" w:hAnsi="Arial" w:cs="Arial"/>
                <w:sz w:val="14"/>
                <w:szCs w:val="18"/>
              </w:rPr>
              <w:t>polymyxin 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) + 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 xml:space="preserve">SMX 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+ </w:t>
            </w: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</w:p>
        </w:tc>
        <w:tc>
          <w:tcPr>
            <w:tcW w:w="2126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polymyxin 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3 million units q 8 hr along with intrathecal polymyxin E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300,000 IU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day,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TMP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SMX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TMP15m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kg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d in 3 divided doses,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-</w:t>
            </w:r>
            <w:r w:rsidRPr="009E3981">
              <w:rPr>
                <w:rFonts w:ascii="Arial" w:hAnsi="Arial" w:cs="Arial"/>
                <w:sz w:val="14"/>
                <w:szCs w:val="18"/>
              </w:rPr>
              <w:t>CAZ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: </w:t>
            </w:r>
            <w:r w:rsidRPr="009E3981">
              <w:rPr>
                <w:rFonts w:ascii="Arial" w:hAnsi="Arial" w:cs="Arial"/>
                <w:sz w:val="14"/>
                <w:szCs w:val="18"/>
              </w:rPr>
              <w:t>2 gm IV q 8 hr</w:t>
            </w:r>
          </w:p>
        </w:tc>
        <w:tc>
          <w:tcPr>
            <w:tcW w:w="992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21</w:t>
            </w:r>
          </w:p>
        </w:tc>
        <w:tc>
          <w:tcPr>
            <w:tcW w:w="1017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rial"/>
                <w:sz w:val="14"/>
                <w:szCs w:val="18"/>
              </w:rPr>
              <w:t>N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>/</w:t>
            </w:r>
            <w:r w:rsidRPr="009E3981">
              <w:rPr>
                <w:rFonts w:ascii="Arial" w:hAnsi="Arial" w:cs="Arial"/>
                <w:sz w:val="14"/>
                <w:szCs w:val="18"/>
              </w:rPr>
              <w:t>A</w:t>
            </w:r>
          </w:p>
        </w:tc>
        <w:tc>
          <w:tcPr>
            <w:tcW w:w="1350" w:type="dxa"/>
          </w:tcPr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100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had clinical improvement</w:t>
            </w:r>
          </w:p>
          <w:p w:rsidR="00736340" w:rsidRPr="009E3981" w:rsidRDefault="00736340" w:rsidP="008C2C2C">
            <w:pPr>
              <w:rPr>
                <w:rFonts w:ascii="Arial" w:hAnsi="Arial" w:cs="Arial"/>
                <w:sz w:val="14"/>
                <w:szCs w:val="18"/>
              </w:rPr>
            </w:pP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- </w:t>
            </w:r>
            <w:r w:rsidRPr="009E3981">
              <w:rPr>
                <w:rFonts w:ascii="Arial" w:hAnsi="Arial" w:cs="Arial"/>
                <w:sz w:val="14"/>
                <w:szCs w:val="18"/>
              </w:rPr>
              <w:t>100</w:t>
            </w:r>
            <w:r w:rsidRPr="009E3981">
              <w:rPr>
                <w:rFonts w:ascii="Arial" w:hAnsi="Arial" w:cs="Angsana New"/>
                <w:sz w:val="14"/>
                <w:szCs w:val="18"/>
                <w:cs/>
              </w:rPr>
              <w:t xml:space="preserve">% </w:t>
            </w:r>
            <w:r w:rsidRPr="009E3981">
              <w:rPr>
                <w:rFonts w:ascii="Arial" w:hAnsi="Arial" w:cs="Arial"/>
                <w:sz w:val="14"/>
                <w:szCs w:val="18"/>
              </w:rPr>
              <w:t>had CSF culture negative</w:t>
            </w:r>
          </w:p>
        </w:tc>
      </w:tr>
    </w:tbl>
    <w:p w:rsidR="00736340" w:rsidRPr="009E3981" w:rsidRDefault="00736340" w:rsidP="00736340">
      <w:pPr>
        <w:spacing w:after="0" w:line="240" w:lineRule="auto"/>
        <w:rPr>
          <w:rFonts w:ascii="Arial" w:hAnsi="Arial" w:cs="Arial"/>
          <w:szCs w:val="22"/>
        </w:rPr>
      </w:pPr>
      <w:r w:rsidRPr="009E3981">
        <w:rPr>
          <w:rFonts w:ascii="Arial" w:hAnsi="Arial" w:cs="Arial"/>
          <w:b/>
          <w:bCs/>
          <w:szCs w:val="22"/>
        </w:rPr>
        <w:t>Abbreviations</w:t>
      </w:r>
      <w:r w:rsidRPr="009E3981">
        <w:rPr>
          <w:rFonts w:ascii="Arial" w:hAnsi="Arial" w:cs="Angsana New"/>
          <w:b/>
          <w:bCs/>
          <w:szCs w:val="22"/>
          <w:cs/>
        </w:rPr>
        <w:t>:</w:t>
      </w:r>
      <w:r w:rsidRPr="009E3981">
        <w:rPr>
          <w:rFonts w:ascii="Arial" w:hAnsi="Arial" w:cs="Angsana New"/>
          <w:szCs w:val="22"/>
          <w:cs/>
        </w:rPr>
        <w:t xml:space="preserve"> </w:t>
      </w:r>
      <w:r w:rsidRPr="009E3981">
        <w:rPr>
          <w:rFonts w:ascii="Arial" w:hAnsi="Arial" w:cs="Arial"/>
          <w:szCs w:val="22"/>
        </w:rPr>
        <w:t>ED; eye drop, F; female, I</w:t>
      </w:r>
      <w:r w:rsidRPr="009E3981">
        <w:rPr>
          <w:rFonts w:ascii="Arial" w:hAnsi="Arial" w:cs="Angsana New"/>
          <w:szCs w:val="22"/>
          <w:cs/>
        </w:rPr>
        <w:t xml:space="preserve">: </w:t>
      </w:r>
      <w:r w:rsidRPr="009E3981">
        <w:rPr>
          <w:rFonts w:ascii="Arial" w:hAnsi="Arial" w:cs="Arial"/>
          <w:szCs w:val="22"/>
        </w:rPr>
        <w:t>intermediate, M; male, N</w:t>
      </w:r>
      <w:r w:rsidRPr="009E3981">
        <w:rPr>
          <w:rFonts w:ascii="Arial" w:hAnsi="Arial" w:cs="Angsana New"/>
          <w:szCs w:val="22"/>
          <w:cs/>
        </w:rPr>
        <w:t>/</w:t>
      </w:r>
      <w:r w:rsidRPr="009E3981">
        <w:rPr>
          <w:rFonts w:ascii="Arial" w:hAnsi="Arial" w:cs="Arial"/>
          <w:szCs w:val="22"/>
        </w:rPr>
        <w:t>A; not applicable, NB; nebulize, R; resistant, S; susceptible; AMC, ampicillin; AMK, amikacin; CAR, carbenicillin; CAZ, ceftazidime; CHL, chloramphenicol; CIP, ciprofloxacin; COL, colistin; FEP, cefepime; GEN, gentamicin; KAN, kanamycin; LVX, levofloxacin; MOX, moxalactam; PEN, penicillin; POL, polymyxin; STR, streptomycin; TIC, ticarcillin; TIM, ticarcillin</w:t>
      </w:r>
      <w:r w:rsidRPr="009E3981">
        <w:rPr>
          <w:rFonts w:ascii="Arial" w:hAnsi="Arial" w:cs="Angsana New"/>
          <w:szCs w:val="22"/>
          <w:cs/>
        </w:rPr>
        <w:t>/</w:t>
      </w:r>
      <w:r w:rsidRPr="009E3981">
        <w:rPr>
          <w:rFonts w:ascii="Arial" w:hAnsi="Arial" w:cs="Arial"/>
          <w:szCs w:val="22"/>
        </w:rPr>
        <w:t>clavulanic acid; TMP</w:t>
      </w:r>
      <w:r w:rsidRPr="009E3981">
        <w:rPr>
          <w:rFonts w:ascii="Arial" w:hAnsi="Arial" w:cs="Angsana New"/>
          <w:szCs w:val="22"/>
          <w:cs/>
        </w:rPr>
        <w:t>-</w:t>
      </w:r>
      <w:r w:rsidRPr="009E3981">
        <w:rPr>
          <w:rFonts w:ascii="Arial" w:hAnsi="Arial" w:cs="Arial"/>
          <w:szCs w:val="22"/>
        </w:rPr>
        <w:t>SMX; trimethoprim</w:t>
      </w:r>
      <w:r w:rsidRPr="009E3981">
        <w:rPr>
          <w:rFonts w:ascii="Arial" w:hAnsi="Arial" w:cs="Angsana New"/>
          <w:szCs w:val="22"/>
          <w:cs/>
        </w:rPr>
        <w:t>-</w:t>
      </w:r>
      <w:r w:rsidRPr="009E3981">
        <w:rPr>
          <w:rFonts w:ascii="Arial" w:hAnsi="Arial" w:cs="Arial"/>
          <w:szCs w:val="22"/>
        </w:rPr>
        <w:t>sulfamethoxazole; TZP, piperacillin</w:t>
      </w:r>
      <w:r w:rsidRPr="009E3981">
        <w:rPr>
          <w:rFonts w:ascii="Arial" w:hAnsi="Arial" w:cs="Angsana New"/>
          <w:szCs w:val="22"/>
          <w:cs/>
        </w:rPr>
        <w:t>/</w:t>
      </w:r>
      <w:r w:rsidRPr="009E3981">
        <w:rPr>
          <w:rFonts w:ascii="Arial" w:hAnsi="Arial" w:cs="Arial"/>
          <w:szCs w:val="22"/>
        </w:rPr>
        <w:t>tazobactam; VAN, vancomycin</w:t>
      </w:r>
    </w:p>
    <w:p w:rsidR="00736340" w:rsidRPr="009E3981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</w:p>
    <w:p w:rsidR="00736340" w:rsidRPr="009E3981" w:rsidRDefault="00736340" w:rsidP="00736340">
      <w:pPr>
        <w:spacing w:after="0"/>
        <w:jc w:val="both"/>
        <w:rPr>
          <w:rFonts w:ascii="Arial" w:hAnsi="Arial" w:cs="Arial"/>
          <w:b/>
          <w:bCs/>
          <w:color w:val="0D0D0D" w:themeColor="text1" w:themeTint="F2"/>
          <w:sz w:val="24"/>
          <w:szCs w:val="24"/>
        </w:rPr>
      </w:pPr>
      <w:r>
        <w:rPr>
          <w:rFonts w:ascii="Arial" w:hAnsi="Arial" w:cs="Arial"/>
          <w:b/>
          <w:bCs/>
          <w:color w:val="0D0D0D" w:themeColor="text1" w:themeTint="F2"/>
          <w:sz w:val="24"/>
          <w:szCs w:val="24"/>
        </w:rPr>
        <w:t>Table 2</w:t>
      </w:r>
      <w:r w:rsidRPr="009E3981">
        <w:rPr>
          <w:rFonts w:ascii="Arial" w:hAnsi="Arial" w:cs="Arial"/>
          <w:b/>
          <w:bCs/>
          <w:color w:val="0D0D0D" w:themeColor="text1" w:themeTint="F2"/>
          <w:sz w:val="24"/>
          <w:szCs w:val="24"/>
        </w:rPr>
        <w:t xml:space="preserve"> 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Risk of bias in non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>-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randomized studies of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 xml:space="preserve"> 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 xml:space="preserve">interventions 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>(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ROBINS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>-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I</w:t>
      </w:r>
      <w:r w:rsidRPr="009E3981">
        <w:rPr>
          <w:rFonts w:ascii="Arial" w:hAnsi="Arial" w:cs="Angsana New"/>
          <w:color w:val="0D0D0D" w:themeColor="text1" w:themeTint="F2"/>
          <w:sz w:val="24"/>
          <w:szCs w:val="24"/>
          <w:cs/>
        </w:rPr>
        <w:t xml:space="preserve">) </w:t>
      </w:r>
      <w:r w:rsidRPr="009E3981">
        <w:rPr>
          <w:rFonts w:ascii="Arial" w:hAnsi="Arial" w:cs="Arial"/>
          <w:color w:val="0D0D0D" w:themeColor="text1" w:themeTint="F2"/>
          <w:sz w:val="24"/>
          <w:szCs w:val="24"/>
        </w:rPr>
        <w:t>assessment tool</w:t>
      </w:r>
    </w:p>
    <w:p w:rsidR="00AA2BEF" w:rsidRPr="00736340" w:rsidRDefault="00736340" w:rsidP="00736340">
      <w:pPr>
        <w:spacing w:after="0"/>
        <w:jc w:val="both"/>
        <w:rPr>
          <w:rFonts w:ascii="Arial" w:hAnsi="Arial"/>
          <w:b/>
          <w:bCs/>
          <w:color w:val="0D0D0D" w:themeColor="text1" w:themeTint="F2"/>
          <w:sz w:val="24"/>
          <w:szCs w:val="24"/>
        </w:rPr>
      </w:pPr>
      <w:r w:rsidRPr="009E3981">
        <w:rPr>
          <w:rFonts w:ascii="Arial" w:hAnsi="Arial" w:cs="Arial"/>
          <w:b/>
          <w:bCs/>
          <w:noProof/>
          <w:color w:val="0D0D0D" w:themeColor="text1" w:themeTint="F2"/>
          <w:sz w:val="24"/>
          <w:szCs w:val="24"/>
          <w:lang w:bidi="ar-SA"/>
        </w:rPr>
        <w:drawing>
          <wp:inline distT="0" distB="0" distL="0" distR="0" wp14:anchorId="33CC511E" wp14:editId="4050A8BE">
            <wp:extent cx="5403850" cy="3027157"/>
            <wp:effectExtent l="0" t="0" r="6350" b="1905"/>
            <wp:docPr id="43" name="Picture 43" descr="C:\Users\Nik\Downloads\ROBIN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ik\Downloads\ROBINs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73" cy="304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2BEF" w:rsidRPr="007363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340"/>
    <w:rsid w:val="00736340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64761"/>
  <w15:chartTrackingRefBased/>
  <w15:docId w15:val="{4E3F7DCD-9EF1-49AE-864B-B6847A98D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340"/>
    <w:pPr>
      <w:spacing w:line="480" w:lineRule="auto"/>
    </w:pPr>
    <w:rPr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6340"/>
    <w:pPr>
      <w:spacing w:after="0" w:line="240" w:lineRule="auto"/>
    </w:pPr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2022-01-12T17:39:00Z</dcterms:created>
  <dcterms:modified xsi:type="dcterms:W3CDTF">2022-01-12T17:40:00Z</dcterms:modified>
</cp:coreProperties>
</file>