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default" w:ascii="Times New Roman" w:hAnsi="Times New Roman" w:cs="Times New Roman"/>
          <w:sz w:val="28"/>
          <w:szCs w:val="36"/>
        </w:rPr>
        <w:t>Supplementary materials</w:t>
      </w:r>
    </w:p>
    <w:p>
      <w:pPr>
        <w:jc w:val="center"/>
        <w:rPr>
          <w:rFonts w:hint="default" w:ascii="Times New Roman" w:hAnsi="Times New Roman" w:cs="Times New Roman"/>
          <w:sz w:val="28"/>
          <w:szCs w:val="36"/>
        </w:rPr>
      </w:pPr>
      <w:r>
        <w:rPr>
          <w:rFonts w:hint="eastAsia" w:ascii="Times New Roman" w:hAnsi="Times New Roman"/>
          <w:b/>
          <w:sz w:val="30"/>
          <w:szCs w:val="30"/>
        </w:rPr>
        <w:t xml:space="preserve">The Synergy beteeen </w:t>
      </w:r>
      <w:r>
        <w:rPr>
          <w:rFonts w:ascii="Times New Roman" w:hAnsi="Times New Roman"/>
          <w:b/>
          <w:sz w:val="30"/>
          <w:szCs w:val="30"/>
        </w:rPr>
        <w:t>Diurnal Temperature Range</w:t>
      </w:r>
      <w:r>
        <w:rPr>
          <w:rFonts w:hint="eastAsia" w:ascii="Times New Roman" w:hAnsi="Times New Roman"/>
          <w:b/>
          <w:sz w:val="30"/>
          <w:szCs w:val="30"/>
        </w:rPr>
        <w:t xml:space="preserve"> and calcium concentration help to predict hospital mortality in patients with acute myocardial infarction</w:t>
      </w:r>
      <w:bookmarkStart w:id="2" w:name="_GoBack"/>
      <w:bookmarkEnd w:id="2"/>
    </w:p>
    <w:p>
      <w:pPr>
        <w:spacing w:line="480" w:lineRule="auto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kern w:val="0"/>
          <w:sz w:val="24"/>
        </w:rPr>
        <w:t>Supplemental Figure 1</w:t>
      </w:r>
      <w:r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kern w:val="0"/>
          <w:sz w:val="24"/>
        </w:rPr>
        <w:t>Distribution of serum calcium concentration on admission in the 3780 patients with acute myocardial infarction included in the study.</w:t>
      </w:r>
      <w:r>
        <w:rPr>
          <w:rFonts w:ascii="Times New Roman" w:hAnsi="Times New Roman"/>
          <w:sz w:val="24"/>
        </w:rPr>
        <w:t xml:space="preserve"> The distribution of serum calcium concentration approximated to a normal distribution with a mean level of 2.26 mmol/L (standard deviation，  0.15 mmol/L) and a median level of 2.26 mmol/L (interquartile range，  2.19–2.33 mmol/L). </w:t>
      </w:r>
    </w:p>
    <w:p>
      <w:pPr>
        <w:spacing w:line="480" w:lineRule="auto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114300" distR="114300">
            <wp:extent cx="4319905" cy="4255770"/>
            <wp:effectExtent l="0" t="0" r="4445" b="11430"/>
            <wp:docPr id="1" name="图片 1" descr="C:\Users\Administrator\Desktop\顾星博T-J-180611556-SMT\2投BIOMED RESEARCH INTERNATIONAL\figures\supplement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顾星博T-J-180611556-SMT\2投BIOMED RESEARCH INTERNATIONAL\figures\supplement figure 1.ti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425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contextualSpacing/>
        <w:rPr>
          <w:rFonts w:ascii="Times New Roman" w:hAnsi="Times New Roman"/>
          <w:sz w:val="24"/>
        </w:rPr>
      </w:pPr>
    </w:p>
    <w:p>
      <w:pPr>
        <w:spacing w:line="480" w:lineRule="auto"/>
        <w:contextualSpacing/>
        <w:rPr>
          <w:rFonts w:ascii="Times New Roman" w:hAnsi="Times New Roman"/>
          <w:b/>
          <w:color w:val="000000"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480" w:lineRule="auto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kern w:val="0"/>
          <w:sz w:val="24"/>
        </w:rPr>
        <w:t>Supplemental Figure 2</w:t>
      </w:r>
      <w:r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kern w:val="0"/>
          <w:sz w:val="24"/>
        </w:rPr>
        <w:t xml:space="preserve">Distribution of baseline </w:t>
      </w:r>
      <w:r>
        <w:rPr>
          <w:rFonts w:ascii="Times New Roman" w:hAnsi="Times New Roman"/>
          <w:color w:val="000000"/>
          <w:kern w:val="0"/>
          <w:sz w:val="24"/>
        </w:rPr>
        <w:t>diurnal temperature range</w:t>
      </w:r>
      <w:r>
        <w:rPr>
          <w:rFonts w:ascii="Times New Roman" w:hAnsi="Times New Roman"/>
          <w:kern w:val="0"/>
          <w:sz w:val="24"/>
        </w:rPr>
        <w:t xml:space="preserve"> on admission in the 3780 patients with acute myocardial infarction included in the study. </w:t>
      </w:r>
      <w:r>
        <w:rPr>
          <w:rFonts w:ascii="Times New Roman" w:hAnsi="Times New Roman"/>
          <w:sz w:val="24"/>
        </w:rPr>
        <w:t xml:space="preserve">The distribution of DTR exhibited slight positive skewness with a mean temperature difference of 10.26ºC (standard deviation，  3.56ºC) and a median temperature difference of 9.90ºC (interquartile range，  7.69–12.60ºC). </w:t>
      </w:r>
    </w:p>
    <w:p>
      <w:pPr>
        <w:widowControl/>
        <w:spacing w:line="480" w:lineRule="auto"/>
        <w:contextualSpacing/>
        <w:rPr>
          <w:rFonts w:ascii="Times New Roman" w:hAnsi="Times New Roman"/>
          <w:b/>
          <w:sz w:val="24"/>
        </w:rPr>
      </w:pPr>
    </w:p>
    <w:p>
      <w:pPr>
        <w:widowControl/>
        <w:spacing w:line="480" w:lineRule="auto"/>
        <w:contextualSpacing/>
        <w:rPr>
          <w:rFonts w:ascii="Times New Roman" w:hAnsi="Times New Roman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/>
          <w:b/>
          <w:sz w:val="24"/>
        </w:rPr>
        <w:drawing>
          <wp:inline distT="0" distB="0" distL="114300" distR="114300">
            <wp:extent cx="4319905" cy="4415155"/>
            <wp:effectExtent l="0" t="0" r="4445" b="4445"/>
            <wp:docPr id="2" name="图片 2" descr="C:\Users\Administrator\Desktop\顾星博T-J-180611556-SMT\2投BIOMED RESEARCH INTERNATIONAL\figures\supplement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顾星博T-J-180611556-SMT\2投BIOMED RESEARCH INTERNATIONAL\figures\supplement figure 2.ti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contextualSpacing/>
        <w:jc w:val="center"/>
        <w:rPr>
          <w:rFonts w:ascii="Times New Roman" w:hAnsi="Times New Roman" w:eastAsia="TimesNewRomanPS-BoldMT"/>
          <w:b/>
          <w:bCs/>
          <w:kern w:val="0"/>
          <w:sz w:val="24"/>
        </w:rPr>
      </w:pPr>
      <w:r>
        <w:rPr>
          <w:rFonts w:ascii="Times New Roman" w:hAnsi="Times New Roman"/>
          <w:b/>
          <w:sz w:val="24"/>
        </w:rPr>
        <w:t xml:space="preserve">Table 1. </w:t>
      </w:r>
      <w:r>
        <w:rPr>
          <w:rFonts w:ascii="Times New Roman" w:hAnsi="Times New Roman" w:eastAsia="TimesNewRomanPS-BoldMT"/>
          <w:b/>
          <w:bCs/>
          <w:kern w:val="0"/>
          <w:sz w:val="24"/>
        </w:rPr>
        <w:t xml:space="preserve">Clinical characteristics of the 3780 patients with </w:t>
      </w:r>
      <w:r>
        <w:rPr>
          <w:rFonts w:ascii="Times New Roman" w:hAnsi="Times New Roman"/>
          <w:b/>
          <w:kern w:val="0"/>
          <w:sz w:val="24"/>
        </w:rPr>
        <w:t>acute myocardial infarction</w:t>
      </w:r>
      <w:r>
        <w:rPr>
          <w:rFonts w:ascii="Times New Roman" w:hAnsi="Times New Roman" w:eastAsia="TimesNewRomanPS-BoldMT"/>
          <w:b/>
          <w:bCs/>
          <w:kern w:val="0"/>
          <w:sz w:val="24"/>
        </w:rPr>
        <w:t xml:space="preserve"> stratified according to serum calcium concentration quartiles.</w:t>
      </w:r>
    </w:p>
    <w:tbl>
      <w:tblPr>
        <w:tblStyle w:val="2"/>
        <w:tblW w:w="9214" w:type="dxa"/>
        <w:tblInd w:w="-45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630"/>
        <w:gridCol w:w="1630"/>
        <w:gridCol w:w="1630"/>
        <w:gridCol w:w="1631"/>
        <w:gridCol w:w="8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Merge w:val="restart"/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</w:rPr>
              <w:t>Characteristic</w:t>
            </w:r>
          </w:p>
        </w:tc>
        <w:tc>
          <w:tcPr>
            <w:tcW w:w="6521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tabs>
                <w:tab w:val="center" w:pos="3010"/>
                <w:tab w:val="right" w:pos="6021"/>
              </w:tabs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Serum calcium concentration quartile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kern w:val="0"/>
                <w:sz w:val="24"/>
              </w:rPr>
              <w:t xml:space="preserve">P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b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</w:t>
            </w:r>
            <w:r>
              <w:rPr>
                <w:rFonts w:ascii="Times New Roman" w:hAnsi="Times New Roman"/>
                <w:b/>
                <w:i/>
                <w:sz w:val="24"/>
              </w:rPr>
              <w:t>n</w:t>
            </w:r>
            <w:r>
              <w:rPr>
                <w:rFonts w:ascii="Times New Roman" w:hAnsi="Times New Roman"/>
                <w:b/>
                <w:sz w:val="24"/>
              </w:rPr>
              <w:t xml:space="preserve"> = 892)</w:t>
            </w:r>
          </w:p>
        </w:tc>
        <w:tc>
          <w:tcPr>
            <w:tcW w:w="163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</w:t>
            </w:r>
            <w:r>
              <w:rPr>
                <w:rFonts w:ascii="Times New Roman" w:hAnsi="Times New Roman"/>
                <w:b/>
                <w:i/>
                <w:sz w:val="24"/>
              </w:rPr>
              <w:t>n</w:t>
            </w:r>
            <w:r>
              <w:rPr>
                <w:rFonts w:ascii="Times New Roman" w:hAnsi="Times New Roman"/>
                <w:b/>
                <w:sz w:val="24"/>
              </w:rPr>
              <w:t xml:space="preserve"> = 997)</w:t>
            </w:r>
          </w:p>
        </w:tc>
        <w:tc>
          <w:tcPr>
            <w:tcW w:w="163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</w:t>
            </w:r>
            <w:r>
              <w:rPr>
                <w:rFonts w:ascii="Times New Roman" w:hAnsi="Times New Roman"/>
                <w:b/>
                <w:i/>
                <w:sz w:val="24"/>
              </w:rPr>
              <w:t>n</w:t>
            </w:r>
            <w:r>
              <w:rPr>
                <w:rFonts w:ascii="Times New Roman" w:hAnsi="Times New Roman"/>
                <w:b/>
                <w:sz w:val="24"/>
              </w:rPr>
              <w:t xml:space="preserve"> = 883)</w:t>
            </w:r>
          </w:p>
        </w:tc>
        <w:tc>
          <w:tcPr>
            <w:tcW w:w="1631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</w:t>
            </w:r>
            <w:r>
              <w:rPr>
                <w:rFonts w:ascii="Times New Roman" w:hAnsi="Times New Roman"/>
                <w:b/>
                <w:i/>
                <w:sz w:val="24"/>
              </w:rPr>
              <w:t>n</w:t>
            </w:r>
            <w:r>
              <w:rPr>
                <w:rFonts w:ascii="Times New Roman" w:hAnsi="Times New Roman"/>
                <w:b/>
                <w:sz w:val="24"/>
              </w:rPr>
              <w:t xml:space="preserve"> = 1008)</w:t>
            </w:r>
          </w:p>
        </w:tc>
        <w:tc>
          <w:tcPr>
            <w:tcW w:w="850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b/>
                <w:kern w:val="0"/>
                <w:sz w:val="24"/>
              </w:rPr>
              <w:t>Demographics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Age，  years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63.0 (55.0–70.0)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61.0 (53.0–69.0)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58.0 (50.0–67.0)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57.0 (48.0–66.0)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Men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650 (72.9%)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738 (74.0%)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651 (73.7%)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759 (75.3%)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Current smoking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473 (53.0%)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546 (54.8%)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448 (50.7%)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563 (55.9%)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Current alcohol use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90 (10.1%)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105 (10.5%)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98 (11.1%)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132 (13.1%)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b/>
                <w:kern w:val="0"/>
                <w:sz w:val="24"/>
              </w:rPr>
              <w:t>Medical history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Hypertension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268 (30.0%)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416 (41.7%)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418 (47.3%)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506 (50.2%)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Diabetes mellitus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156 (17.5%)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208 (20.9%)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184 (20.8%)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211 (20.9%)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Stroke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84 (9.4%)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77 (7.7%)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71 (8.0%)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79 (7.8%)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Hyperlipidemia</w:t>
            </w:r>
            <w:r>
              <w:rPr>
                <w:rFonts w:ascii="Times New Roman" w:hAnsi="Times New Roman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 (7.6%)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141 (14.1%)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174 (19.7%)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206 (20.4%)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In-hospital complications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Acute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heart failure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97 (10.9%)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134 (13.4%)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117 (13.3%)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133 (13.2%)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Acute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arrhythmia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 (3.4%)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 (4.4%)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38 (4.3%)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 (4.7%)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Medication on admission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ACEI/ARB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445 (49.9%)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497 (49.8%)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462 (52.3%)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500 (49.6%)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Beta-blocker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511 (57.3%)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569 (57.1%)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521 (59.0%)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560 (55.6%)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Aspirin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621 (69.6%)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726 (72.8%)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621 (70.3%)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703 (69.7%)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0.367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Statin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713 (79.9%)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768 (77.0%)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708 (80.2%)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780 (77.4%)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Main diagnosis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NSTEMI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280 (31.4%)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308 (30.9%)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266 (30.1%)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312 (31.0%)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STEMI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612 (68.6%)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689 (69.1%)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617 (69.9%)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696 (69.0%)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Reperfusion strategy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PCI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345 (38.7%)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431 (43.2%)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358 (40.5%)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404 (40.1%)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0.228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Thrombolysis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191 (21.4%)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215 (21.6%)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203 (23.0%)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202 (20.0%)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0.486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Laboratory results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Albumin (g/L)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37.4 (34.9–39.8)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38.5 (36.5–40.9)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39.3 (37.0–41.6)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40.1 (37.7–42.6)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BUN </w:t>
            </w:r>
            <w:r>
              <w:rPr>
                <w:rFonts w:ascii="Times New Roman" w:hAnsi="Times New Roman"/>
                <w:kern w:val="0"/>
                <w:sz w:val="24"/>
              </w:rPr>
              <w:t>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6.0 (4.8–7.6)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5.8 (4.8–7.0)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5.7 (4.6–6.8)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5.5 (4.6–6.9)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Total cholesterol 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4.4 (3.6–5.2)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4.5 (3.7–5.2)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4.7 (3.7–5.7)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4.8 (3.9–5.8)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Total triglycerides 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1.6 (1.0–2.4)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1.8 (1.2–3.2)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2.0 (1.3–3.7)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2.0 (1.3–3.3)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HDL-C 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1.2 (1.0–1.4)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1.2 (1.1–1.4)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1.3 (1.1–1.5)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1.2 (1.0–1.4)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LDL-C 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3.0 (2.4–3.7)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3.2 (2.6–3.8)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3.3 (2.8–3.9)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3.4 (2.7–4.1)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0.766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Fasting glucose 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8.0 (6.3–11.0)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7.9 (6.3–10.5)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7.9 (6.5–10.2)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7.7 (6.4–10.5)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0.408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Serum creatinine (µmol/L)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81.0 (68.4–97.9)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81.1 (69.2–94.5)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79.8 (70.1–92.3)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78.0 (68.7–91.0)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Uric acid (µmol/L)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305.5 (256.5–367.4)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314.4 (272.4–366.4)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317.4 (276.7–363.5)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323.7 (276.0–382.5)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Serum phosphate 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1.1 (0.9–1.4)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1.1 (1.0–1.2)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1.1 (1.0–1.2)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1.1 (1.0–1.2)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magnesium 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>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0.9 (0.8–1.0)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0.9 (0.8–0.9)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0.9 (0.8–0.9)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0.9 (0.8–0.9)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potassium 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>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3.9 (3.6–4.3)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4.0 (3.7–4.3)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4.0 (3.7–4.2)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4.0 (3.8–4.3)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sodium 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>(mmol/L)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137.6 (134.7–140.1)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138.3 (135.7–141.0)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138.8 (136.0–141.4)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139.2 (136.3–141.7)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0.463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chloride 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>(mmol/L)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101.8 (99.0–104.2)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101.7 (99.3–104.2)</w:t>
            </w:r>
          </w:p>
        </w:tc>
        <w:tc>
          <w:tcPr>
            <w:tcW w:w="163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101.6 (99.4–103.8)</w:t>
            </w:r>
          </w:p>
        </w:tc>
        <w:tc>
          <w:tcPr>
            <w:tcW w:w="163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101.5 (98.9–104.0)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Echocardiography results</w:t>
            </w: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LVEF (%)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49.0 (41.0–56.0)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50.0 (43.0–56.0)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50.0 (43.6–56.0)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51.0 (44.2–56.9)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LAD 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>(mm)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37.0 (35.0–40.0)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37.0 (34.8–39.0)</w:t>
            </w:r>
          </w:p>
        </w:tc>
        <w:tc>
          <w:tcPr>
            <w:tcW w:w="163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36.7 (34.7–39.0)</w:t>
            </w:r>
          </w:p>
        </w:tc>
        <w:tc>
          <w:tcPr>
            <w:tcW w:w="163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36.4 (34.0–39.0)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LVEDD 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>(mm)</w:t>
            </w:r>
          </w:p>
        </w:tc>
        <w:tc>
          <w:tcPr>
            <w:tcW w:w="163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51.0 (47.6–54.0)</w:t>
            </w:r>
          </w:p>
        </w:tc>
        <w:tc>
          <w:tcPr>
            <w:tcW w:w="163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50.8 (47.0–53.9)</w:t>
            </w:r>
          </w:p>
        </w:tc>
        <w:tc>
          <w:tcPr>
            <w:tcW w:w="163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50.0 (47.0–53.5)</w:t>
            </w:r>
          </w:p>
        </w:tc>
        <w:tc>
          <w:tcPr>
            <w:tcW w:w="1631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kern w:val="0"/>
                <w:sz w:val="24"/>
              </w:rPr>
              <w:t>50.0 (47.0–53.0)</w:t>
            </w:r>
          </w:p>
        </w:tc>
        <w:tc>
          <w:tcPr>
            <w:tcW w:w="85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0.248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b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b/>
                <w:kern w:val="0"/>
                <w:sz w:val="24"/>
              </w:rPr>
              <w:t>Main index and outcome measure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TimesNewRomanPS-BoldMT"/>
                <w:bCs/>
                <w:kern w:val="0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TimesNewRomanPS-BoldMT"/>
                <w:bCs/>
                <w:sz w:val="24"/>
              </w:rPr>
              <w:t>DTR (ºC)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10.0 (7.6–12.8)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9.9 (7.7–12.5)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9.8 (7.5–12.4)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10.0 (7.8–12.6)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0.426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In-hospital mortality 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，  %)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84 (9.4%)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 (4.6%)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 (4.9%)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 (1.5%)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&lt;0.001</w:t>
            </w:r>
          </w:p>
        </w:tc>
      </w:tr>
    </w:tbl>
    <w:p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Data are expressed as median (interquartile range) or </w:t>
      </w:r>
      <w:r>
        <w:rPr>
          <w:rFonts w:ascii="Times New Roman" w:hAnsi="Times New Roman"/>
          <w:i/>
          <w:kern w:val="0"/>
          <w:sz w:val="24"/>
        </w:rPr>
        <w:t>n</w:t>
      </w:r>
      <w:r>
        <w:rPr>
          <w:rFonts w:ascii="Times New Roman" w:hAnsi="Times New Roman"/>
          <w:kern w:val="0"/>
          <w:sz w:val="24"/>
        </w:rPr>
        <w:t xml:space="preserve"> (%). Ca-Q1: serum calcium concentration &lt;2.19 mmol/L; Ca-Q2: serum calcium concentration 2.19–2.26 mmol/L; Ca-Q3: serum calcium concentration 2.27–2.33 mmol/L; Ca-Q4: serum calcium concentration &gt;2.33 mmol/L. Abbreviations: </w:t>
      </w:r>
      <w:r>
        <w:rPr>
          <w:rFonts w:ascii="Times New Roman" w:hAnsi="Times New Roman"/>
          <w:color w:val="000000"/>
          <w:sz w:val="24"/>
        </w:rPr>
        <w:t xml:space="preserve">ACEI，  </w:t>
      </w:r>
      <w:r>
        <w:rPr>
          <w:rFonts w:ascii="Times New Roman" w:hAnsi="Times New Roman"/>
          <w:color w:val="000000"/>
          <w:kern w:val="0"/>
          <w:sz w:val="24"/>
        </w:rPr>
        <w:t>angiotensin converting enzyme inhibitor</w:t>
      </w:r>
      <w:r>
        <w:rPr>
          <w:rFonts w:ascii="Times New Roman" w:hAnsi="Times New Roman"/>
          <w:color w:val="333333"/>
          <w:sz w:val="24"/>
          <w:shd w:val="clear" w:color="auto" w:fill="FFFFFF"/>
        </w:rPr>
        <w:t xml:space="preserve">; ARB，  </w:t>
      </w:r>
      <w:r>
        <w:rPr>
          <w:rFonts w:ascii="Times New Roman" w:hAnsi="Times New Roman"/>
          <w:color w:val="000000"/>
          <w:kern w:val="0"/>
          <w:sz w:val="24"/>
        </w:rPr>
        <w:t>angiotensin receptor blocker;</w:t>
      </w:r>
      <w:r>
        <w:rPr>
          <w:rFonts w:ascii="Times New Roman" w:hAnsi="Times New Roman"/>
          <w:kern w:val="0"/>
          <w:sz w:val="24"/>
        </w:rPr>
        <w:t xml:space="preserve"> </w:t>
      </w:r>
      <w:r>
        <w:rPr>
          <w:rFonts w:ascii="Times New Roman" w:hAnsi="Times New Roman"/>
          <w:sz w:val="24"/>
        </w:rPr>
        <w:t>BUN，  blood urea nitrogen</w:t>
      </w:r>
      <w:r>
        <w:rPr>
          <w:rFonts w:ascii="Times New Roman" w:hAnsi="Times New Roman" w:eastAsia="MinionPro-Regular"/>
          <w:kern w:val="0"/>
          <w:sz w:val="24"/>
        </w:rPr>
        <w:t xml:space="preserve">; </w:t>
      </w:r>
      <w:r>
        <w:rPr>
          <w:rStyle w:val="4"/>
          <w:rFonts w:ascii="Times New Roman" w:hAnsi="Times New Roman"/>
          <w:sz w:val="24"/>
        </w:rPr>
        <w:t xml:space="preserve">DTR，  </w:t>
      </w:r>
      <w:r>
        <w:rPr>
          <w:rFonts w:ascii="Times New Roman" w:hAnsi="Times New Roman"/>
          <w:kern w:val="0"/>
          <w:sz w:val="24"/>
        </w:rPr>
        <w:t>diurnal temperature range</w:t>
      </w:r>
      <w:r>
        <w:rPr>
          <w:rStyle w:val="4"/>
          <w:rFonts w:ascii="Times New Roman" w:hAnsi="Times New Roman"/>
          <w:sz w:val="24"/>
        </w:rPr>
        <w:t xml:space="preserve">; </w:t>
      </w:r>
      <w:r>
        <w:rPr>
          <w:rFonts w:ascii="Times New Roman" w:hAnsi="Times New Roman" w:eastAsia="MinionPro-Regular"/>
          <w:kern w:val="0"/>
          <w:sz w:val="24"/>
        </w:rPr>
        <w:t xml:space="preserve">HDL-C，  high-density lipoprotein cholesterol; LAD，  </w:t>
      </w:r>
      <w:r>
        <w:rPr>
          <w:rFonts w:ascii="Times New Roman" w:hAnsi="Times New Roman"/>
          <w:color w:val="000000"/>
          <w:kern w:val="0"/>
          <w:sz w:val="24"/>
        </w:rPr>
        <w:t>left atrial diameter</w:t>
      </w:r>
      <w:r>
        <w:rPr>
          <w:rFonts w:ascii="Times New Roman" w:hAnsi="Times New Roman" w:eastAsia="MinionPro-Regular"/>
          <w:kern w:val="0"/>
          <w:sz w:val="24"/>
        </w:rPr>
        <w:t xml:space="preserve">; LDL-C，  low-density lipoprotein cholesterol; </w:t>
      </w:r>
      <w:r>
        <w:rPr>
          <w:rStyle w:val="4"/>
          <w:rFonts w:ascii="Times New Roman" w:hAnsi="Times New Roman"/>
          <w:sz w:val="24"/>
        </w:rPr>
        <w:t xml:space="preserve">LVEDD，  </w:t>
      </w:r>
      <w:r>
        <w:rPr>
          <w:rFonts w:ascii="Times New Roman" w:hAnsi="Times New Roman"/>
          <w:color w:val="000000"/>
          <w:kern w:val="0"/>
          <w:sz w:val="24"/>
        </w:rPr>
        <w:t>left ventricular end-diastolic diameter</w:t>
      </w:r>
      <w:r>
        <w:rPr>
          <w:rStyle w:val="4"/>
          <w:rFonts w:ascii="Times New Roman" w:hAnsi="Times New Roman"/>
          <w:sz w:val="24"/>
        </w:rPr>
        <w:t xml:space="preserve">; LVEF，  </w:t>
      </w:r>
      <w:r>
        <w:rPr>
          <w:rFonts w:ascii="Times New Roman" w:hAnsi="Times New Roman"/>
          <w:color w:val="000000"/>
          <w:kern w:val="0"/>
          <w:sz w:val="24"/>
        </w:rPr>
        <w:t>left ventricular ejection fraction</w:t>
      </w:r>
      <w:r>
        <w:rPr>
          <w:rStyle w:val="4"/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kern w:val="0"/>
          <w:sz w:val="24"/>
        </w:rPr>
        <w:t>NSTEMI</w:t>
      </w:r>
      <w:r>
        <w:rPr>
          <w:rFonts w:ascii="Times New Roman" w:hAnsi="Times New Roman" w:eastAsia="MinionPro-Regular"/>
          <w:kern w:val="0"/>
          <w:sz w:val="24"/>
        </w:rPr>
        <w:t>，  non-</w:t>
      </w:r>
      <w:r>
        <w:rPr>
          <w:rFonts w:ascii="Times New Roman" w:hAnsi="Times New Roman"/>
          <w:kern w:val="0"/>
          <w:sz w:val="24"/>
        </w:rPr>
        <w:t>ST-segment elevation myocardial infarction</w:t>
      </w:r>
      <w:r>
        <w:rPr>
          <w:rFonts w:ascii="Times New Roman" w:hAnsi="Times New Roman" w:eastAsia="MinionPro-Regular"/>
          <w:kern w:val="0"/>
          <w:sz w:val="24"/>
        </w:rPr>
        <w:t xml:space="preserve">; PCI，  </w:t>
      </w:r>
      <w:r>
        <w:rPr>
          <w:rFonts w:ascii="Times New Roman" w:hAnsi="Times New Roman"/>
          <w:color w:val="000000"/>
          <w:kern w:val="0"/>
          <w:sz w:val="24"/>
        </w:rPr>
        <w:t>percutaneous coronary intervention;</w:t>
      </w:r>
      <w:r>
        <w:rPr>
          <w:rFonts w:ascii="Times New Roman" w:hAnsi="Times New Roman" w:eastAsia="MinionPro-Regular"/>
          <w:kern w:val="0"/>
          <w:sz w:val="24"/>
        </w:rPr>
        <w:t xml:space="preserve"> </w:t>
      </w:r>
      <w:r>
        <w:rPr>
          <w:rFonts w:ascii="Times New Roman" w:hAnsi="Times New Roman" w:eastAsia="ScalaLancetPro"/>
          <w:kern w:val="0"/>
          <w:sz w:val="24"/>
        </w:rPr>
        <w:t>STEMI</w:t>
      </w:r>
      <w:r>
        <w:rPr>
          <w:rFonts w:ascii="Times New Roman" w:hAnsi="Times New Roman"/>
          <w:kern w:val="0"/>
          <w:sz w:val="24"/>
        </w:rPr>
        <w:t>，  ST-segment elevation myocardial infarction</w:t>
      </w:r>
      <w:r>
        <w:rPr>
          <w:rFonts w:ascii="Times New Roman" w:hAnsi="Times New Roman"/>
          <w:sz w:val="24"/>
        </w:rPr>
        <w:t>.</w:t>
      </w:r>
    </w:p>
    <w:p>
      <w:pPr>
        <w:spacing w:line="480" w:lineRule="auto"/>
        <w:rPr>
          <w:rFonts w:ascii="Times New Roman" w:hAnsi="Times New Roman"/>
          <w:sz w:val="24"/>
        </w:rPr>
      </w:pPr>
    </w:p>
    <w:p>
      <w:pPr>
        <w:spacing w:line="480" w:lineRule="auto"/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480" w:lineRule="auto"/>
        <w:contextualSpacing/>
        <w:jc w:val="center"/>
        <w:rPr>
          <w:rFonts w:ascii="Times New Roman" w:hAnsi="Times New Roman" w:eastAsia="MinionPro-Regular"/>
          <w:b/>
          <w:kern w:val="0"/>
          <w:sz w:val="24"/>
        </w:rPr>
      </w:pPr>
      <w:r>
        <w:rPr>
          <w:rFonts w:ascii="Times New Roman" w:hAnsi="Times New Roman"/>
          <w:b/>
          <w:sz w:val="24"/>
        </w:rPr>
        <w:t xml:space="preserve">Table 2. The association between </w:t>
      </w:r>
      <w:r>
        <w:rPr>
          <w:rFonts w:ascii="Times New Roman" w:hAnsi="Times New Roman" w:eastAsia="MinionPro-Regular"/>
          <w:b/>
          <w:kern w:val="0"/>
          <w:sz w:val="24"/>
        </w:rPr>
        <w:t xml:space="preserve">serum </w:t>
      </w:r>
      <w:r>
        <w:rPr>
          <w:rFonts w:ascii="Times New Roman" w:hAnsi="Times New Roman"/>
          <w:b/>
          <w:sz w:val="24"/>
        </w:rPr>
        <w:t>calcium concentration</w:t>
      </w:r>
      <w:r>
        <w:rPr>
          <w:rFonts w:ascii="Times New Roman" w:hAnsi="Times New Roman" w:eastAsia="MinionPro-Regular"/>
          <w:b/>
          <w:kern w:val="0"/>
          <w:sz w:val="24"/>
        </w:rPr>
        <w:t xml:space="preserve"> and in-hospital mortality of patients with </w:t>
      </w:r>
      <w:r>
        <w:rPr>
          <w:rFonts w:ascii="Times New Roman" w:hAnsi="Times New Roman"/>
          <w:b/>
          <w:kern w:val="0"/>
          <w:sz w:val="24"/>
        </w:rPr>
        <w:t>acute myocardial infarction analyzed using three different logistic regression models.</w:t>
      </w:r>
    </w:p>
    <w:tbl>
      <w:tblPr>
        <w:tblStyle w:val="2"/>
        <w:tblW w:w="8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152"/>
        <w:gridCol w:w="1346"/>
        <w:gridCol w:w="1347"/>
        <w:gridCol w:w="1346"/>
        <w:gridCol w:w="1347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</w:t>
            </w:r>
          </w:p>
        </w:tc>
        <w:tc>
          <w:tcPr>
            <w:tcW w:w="6538" w:type="dxa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Serum calcium concentration</w:t>
            </w:r>
          </w:p>
        </w:tc>
        <w:tc>
          <w:tcPr>
            <w:tcW w:w="941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 for trend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Ca-Q1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Ca-Q2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Ca-Q3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Ca-Q4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TimesNewRomanPSMT"/>
                <w:kern w:val="0"/>
                <w:sz w:val="24"/>
              </w:rPr>
              <w:t>Continuous</w:t>
            </w:r>
          </w:p>
        </w:tc>
        <w:tc>
          <w:tcPr>
            <w:tcW w:w="941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Deaths/</w:t>
            </w:r>
            <w:r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N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84/892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46/951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43/840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15/993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188/3780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 1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0.47 (0.32–0.68)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0.49 (0.34–0.72)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 (0.08–0.25)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0.53 (0.45–0.63)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 2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0.49 (0.34–0.71)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0.56 (0.38–0.82)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0.003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0.17 (0.10–0.31)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0.57 (0.48–0.68)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 3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0.47 (0.32–0.69)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0.55 (0.37–0.82)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0.003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0.14 (0.07–0.25)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0.56 (0.47–0.67)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&lt; 0.001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</w:tr>
    </w:tbl>
    <w:p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Data are presented as odds ratio (95% confidence interval)，  </w:t>
      </w:r>
      <w:r>
        <w:rPr>
          <w:rFonts w:ascii="Times New Roman" w:hAnsi="Times New Roman"/>
          <w:i/>
          <w:kern w:val="0"/>
          <w:sz w:val="24"/>
        </w:rPr>
        <w:t>P</w:t>
      </w:r>
      <w:r>
        <w:rPr>
          <w:rFonts w:ascii="Times New Roman" w:hAnsi="Times New Roman"/>
          <w:kern w:val="0"/>
          <w:sz w:val="24"/>
        </w:rPr>
        <w:t xml:space="preserve"> value. Ca-Q1: serum calcium concentration &lt;2.19 mmol/L; Ca-Q2: serum calcium concentration 2.19–2.26 mmol/L; Ca-Q3: serum calcium concentration 2.27–2.33 mmol/L; Ca-Q4: serum calcium concentration &gt;2.33 mmol/L. Model 1: unadjusted. Model 2: adjusted for age and gender.</w:t>
      </w:r>
      <w:r>
        <w:rPr>
          <w:rFonts w:ascii="Times New Roman" w:hAnsi="Times New Roman"/>
          <w:sz w:val="24"/>
        </w:rPr>
        <w:t xml:space="preserve"> Model</w:t>
      </w:r>
      <w:r>
        <w:rPr>
          <w:rFonts w:ascii="Times New Roman" w:hAnsi="Times New Roman"/>
          <w:kern w:val="0"/>
          <w:sz w:val="24"/>
        </w:rPr>
        <w:t xml:space="preserve"> 3: adjusted for age，  gender，  </w:t>
      </w:r>
      <w:r>
        <w:rPr>
          <w:rFonts w:ascii="Times New Roman" w:hAnsi="Times New Roman"/>
          <w:sz w:val="24"/>
        </w:rPr>
        <w:t xml:space="preserve">current smoking，  current alcohol use，  diabetes mellitus，  </w:t>
      </w:r>
      <w:r>
        <w:rPr>
          <w:rFonts w:ascii="Times New Roman" w:hAnsi="Times New Roman" w:eastAsia="MinionPro-Regular"/>
          <w:kern w:val="0"/>
          <w:sz w:val="24"/>
        </w:rPr>
        <w:t xml:space="preserve">high-density lipoprotein cholesterol，  </w:t>
      </w:r>
      <w:r>
        <w:rPr>
          <w:rFonts w:ascii="Times New Roman" w:hAnsi="Times New Roman" w:eastAsia="TimesNewRomanPSMT"/>
          <w:kern w:val="0"/>
          <w:sz w:val="24"/>
        </w:rPr>
        <w:t xml:space="preserve">uric acid，  </w:t>
      </w:r>
      <w:r>
        <w:rPr>
          <w:rFonts w:ascii="Times New Roman" w:hAnsi="Times New Roman" w:eastAsia="MinionPro-Regular"/>
          <w:kern w:val="0"/>
          <w:sz w:val="24"/>
        </w:rPr>
        <w:t xml:space="preserve">serum phosphate，  serum potassium，  </w:t>
      </w:r>
      <w:r>
        <w:rPr>
          <w:rFonts w:ascii="Times New Roman" w:hAnsi="Times New Roman"/>
          <w:color w:val="000000"/>
          <w:kern w:val="0"/>
          <w:sz w:val="24"/>
        </w:rPr>
        <w:t>left ventricular ejection fraction</w:t>
      </w:r>
      <w:r>
        <w:rPr>
          <w:rStyle w:val="4"/>
          <w:rFonts w:ascii="Times New Roman" w:hAnsi="Times New Roman"/>
          <w:sz w:val="24"/>
        </w:rPr>
        <w:t xml:space="preserve"> and </w:t>
      </w:r>
      <w:r>
        <w:rPr>
          <w:rFonts w:ascii="Times New Roman" w:hAnsi="Times New Roman"/>
          <w:color w:val="000000"/>
          <w:kern w:val="0"/>
          <w:sz w:val="24"/>
        </w:rPr>
        <w:t>left atrial diameter.</w:t>
      </w:r>
      <w:r>
        <w:rPr>
          <w:rFonts w:ascii="Times New Roman" w:hAnsi="Times New Roman" w:eastAsia="MinionPro-Regular"/>
          <w:kern w:val="0"/>
          <w:sz w:val="24"/>
        </w:rPr>
        <w:t xml:space="preserve"> When serum calcium concentration was analyzed as a continuous variable，  the odds ratio was calculated per one</w:t>
      </w:r>
      <w:r>
        <w:rPr>
          <w:rFonts w:ascii="Times New Roman" w:hAnsi="Times New Roman" w:eastAsia="Times-Roman"/>
          <w:kern w:val="0"/>
          <w:sz w:val="24"/>
        </w:rPr>
        <w:t xml:space="preserve"> standard deviation increment</w:t>
      </w:r>
      <w:r>
        <w:rPr>
          <w:rFonts w:ascii="Times New Roman" w:hAnsi="Times New Roman" w:eastAsia="MinionPro-Regular"/>
          <w:kern w:val="0"/>
          <w:sz w:val="24"/>
        </w:rPr>
        <w:t xml:space="preserve"> of </w:t>
      </w:r>
      <w:r>
        <w:rPr>
          <w:rFonts w:ascii="Times New Roman" w:hAnsi="Times New Roman"/>
          <w:sz w:val="24"/>
        </w:rPr>
        <w:t xml:space="preserve">serum calcium </w:t>
      </w:r>
      <w:r>
        <w:rPr>
          <w:rFonts w:ascii="Times New Roman" w:hAnsi="Times New Roman" w:eastAsia="MinionPro-Regular"/>
          <w:kern w:val="0"/>
          <w:sz w:val="24"/>
        </w:rPr>
        <w:t>level.</w:t>
      </w:r>
      <w:r>
        <w:rPr>
          <w:rFonts w:ascii="Times New Roman" w:hAnsi="Times New Roman"/>
          <w:b/>
          <w:kern w:val="0"/>
          <w:sz w:val="24"/>
        </w:rPr>
        <w:tab/>
      </w:r>
    </w:p>
    <w:p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kern w:val="0"/>
          <w:sz w:val="24"/>
        </w:rPr>
      </w:pPr>
    </w:p>
    <w:p>
      <w:pPr>
        <w:spacing w:line="480" w:lineRule="auto"/>
      </w:pPr>
    </w:p>
    <w:p>
      <w:pPr>
        <w:spacing w:line="480" w:lineRule="auto"/>
        <w:rPr>
          <w:rFonts w:ascii="Times New Roman" w:hAnsi="Times New Roman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480" w:lineRule="auto"/>
        <w:contextualSpacing/>
        <w:jc w:val="center"/>
        <w:rPr>
          <w:rFonts w:ascii="Times New Roman" w:hAnsi="Times New Roman" w:eastAsia="MinionPro-Regular"/>
          <w:b/>
          <w:kern w:val="0"/>
          <w:sz w:val="24"/>
        </w:rPr>
      </w:pPr>
      <w:r>
        <w:rPr>
          <w:rFonts w:ascii="Times New Roman" w:hAnsi="Times New Roman"/>
          <w:b/>
          <w:sz w:val="24"/>
        </w:rPr>
        <w:t xml:space="preserve">Table 3. The association between </w:t>
      </w:r>
      <w:r>
        <w:rPr>
          <w:rFonts w:ascii="Times New Roman" w:hAnsi="Times New Roman" w:eastAsia="MinionPro-Regular"/>
          <w:b/>
          <w:kern w:val="0"/>
          <w:sz w:val="24"/>
        </w:rPr>
        <w:t xml:space="preserve">serum </w:t>
      </w:r>
      <w:r>
        <w:rPr>
          <w:rFonts w:ascii="Times New Roman" w:hAnsi="Times New Roman"/>
          <w:b/>
          <w:sz w:val="24"/>
        </w:rPr>
        <w:t>calcium concentration</w:t>
      </w:r>
      <w:r>
        <w:rPr>
          <w:rFonts w:ascii="Times New Roman" w:hAnsi="Times New Roman" w:eastAsia="MinionPro-Regular"/>
          <w:b/>
          <w:kern w:val="0"/>
          <w:sz w:val="24"/>
        </w:rPr>
        <w:t xml:space="preserve"> and in-hospital mortality of patients with </w:t>
      </w:r>
      <w:r>
        <w:rPr>
          <w:rFonts w:ascii="Times New Roman" w:hAnsi="Times New Roman"/>
          <w:b/>
          <w:kern w:val="0"/>
          <w:sz w:val="24"/>
        </w:rPr>
        <w:t>acute myocardial infarction:</w:t>
      </w:r>
      <w:r>
        <w:rPr>
          <w:rFonts w:ascii="Times New Roman" w:hAnsi="Times New Roman" w:eastAsia="MinionPro-Regular"/>
          <w:b/>
          <w:kern w:val="0"/>
          <w:sz w:val="24"/>
        </w:rPr>
        <w:t xml:space="preserve"> subgroup analyses.</w:t>
      </w:r>
    </w:p>
    <w:tbl>
      <w:tblPr>
        <w:tblStyle w:val="2"/>
        <w:tblW w:w="905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851"/>
        <w:gridCol w:w="1566"/>
        <w:gridCol w:w="1567"/>
        <w:gridCol w:w="1567"/>
        <w:gridCol w:w="850"/>
        <w:gridCol w:w="125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vMerge w:val="restart"/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Model</w:t>
            </w:r>
          </w:p>
        </w:tc>
        <w:tc>
          <w:tcPr>
            <w:tcW w:w="6401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Serum calcium concentration</w:t>
            </w:r>
          </w:p>
        </w:tc>
        <w:tc>
          <w:tcPr>
            <w:tcW w:w="1254" w:type="dxa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P-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 w:eastAsia="MinionPro-Regular"/>
                <w:b/>
                <w:i/>
                <w:kern w:val="0"/>
                <w:sz w:val="24"/>
              </w:rPr>
              <w:t>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Ca-Q1</w:t>
            </w:r>
          </w:p>
        </w:tc>
        <w:tc>
          <w:tcPr>
            <w:tcW w:w="156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Ca-Q2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Ca-Q3</w:t>
            </w:r>
          </w:p>
        </w:tc>
        <w:tc>
          <w:tcPr>
            <w:tcW w:w="15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Ca-Q4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P for trend</w:t>
            </w:r>
          </w:p>
        </w:tc>
        <w:tc>
          <w:tcPr>
            <w:tcW w:w="125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Age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i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&lt;60 years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0.24 (0.09–0.66)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0.60 (0.30–1.23)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0.17 (0.06–0.46)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0.002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≥60 years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0.53 (0.34–0.82)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0.48 (0.29–0.79)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0.11 (0.05–0.24)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Gender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0.86 (0.46–1.61)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0.90 (0.47–1.70)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0.12 (0.04–0.36)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Female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0.33 (0.19–0.56)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0.41 (0.24–0.70)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 (0.07–0.31)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Current smoker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0.71 (0.43–1.18)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0.71 (0.42–1.19)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0.08 (0.03–0.20)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0.24 (0.12–0.48)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 (0.20–0.76)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0.19 (0.08–0.44)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Current alcohol use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0.46 (0.31–0.69)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0.54 (0.36–0.81)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 (0.08–0.27)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0.68 (0.10–4.57)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0.88 (0.14–5.58)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0.157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History of hypertension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0.38 (0.22–0.67)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0.48 (0.28–0.83)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0.16 (0.08–0.36)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0.62 (0.35–1.10)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0.36 (0.36–1.20)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0.08 (0.03–0.24)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History of diabetes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0.39 (0.24–0.64)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0.52 (0.32–0.84)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0.09 (0.04–0.23)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0.71 (0.35–1.44)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0.66 (0.31–1.41)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0.24 (0.10–0.58)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0.002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ACEI/ARB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0.56 (0.32–0.99)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0.75 (0.43–1.32)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0.12 (0.05–0.31)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0.41 (0.23–0.71)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0.42 (0.24–0.76)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 (0.07–0.34)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Beta-blocker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0.62 (0.35–1.08)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0.55 (0.29–1.02)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0.20 (0.09–0.46)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0.38 (0.21–0.66)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0.59 (0.35–0.99)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0.08 (0.03–0.21)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Type of AMI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NSTEMI 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0.28 (0.13–0.59)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0.58 (0.30–1.13)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0.06 (0.02–0.23)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STEMI</w:t>
            </w:r>
          </w:p>
        </w:tc>
        <w:tc>
          <w:tcPr>
            <w:tcW w:w="851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0.61 (0.39–0.98)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0.59 (0.36–0.97)</w:t>
            </w:r>
          </w:p>
        </w:tc>
        <w:tc>
          <w:tcPr>
            <w:tcW w:w="1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0.19 (0.10–0.38)</w:t>
            </w:r>
          </w:p>
        </w:tc>
        <w:tc>
          <w:tcPr>
            <w:tcW w:w="850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</w:rPr>
              <w:t>DTR</w:t>
            </w:r>
          </w:p>
        </w:tc>
        <w:tc>
          <w:tcPr>
            <w:tcW w:w="85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56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56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850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125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0.020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DTR-Q1 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0.55 (0.22–1.36)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0.57 (0.23–1.45)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0.44 (0.16–1.24)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0.150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DTR-Q2 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0.65 (0.28–1.48)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0.50 (0.21–1.23)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0.16 (0.05–0.55)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0.004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DTR-Q3 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0.63 (0.30–1.30)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0.86 (0.39–1.86)</w:t>
            </w:r>
          </w:p>
        </w:tc>
        <w:tc>
          <w:tcPr>
            <w:tcW w:w="15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0.14 (0.04–0.50)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0.007</w:t>
            </w:r>
          </w:p>
        </w:tc>
        <w:tc>
          <w:tcPr>
            <w:tcW w:w="125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DTR-Q4</w:t>
            </w:r>
          </w:p>
        </w:tc>
        <w:tc>
          <w:tcPr>
            <w:tcW w:w="851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566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0.23 (0.10–0.53)</w:t>
            </w:r>
          </w:p>
        </w:tc>
        <w:tc>
          <w:tcPr>
            <w:tcW w:w="1567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0.44 (0.21–0.92)</w:t>
            </w:r>
          </w:p>
        </w:tc>
        <w:tc>
          <w:tcPr>
            <w:tcW w:w="1567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0.03 (0.01–0.20)</w:t>
            </w:r>
          </w:p>
        </w:tc>
        <w:tc>
          <w:tcPr>
            <w:tcW w:w="850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&lt;0.001</w:t>
            </w:r>
          </w:p>
        </w:tc>
        <w:tc>
          <w:tcPr>
            <w:tcW w:w="1254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480" w:lineRule="auto"/>
        <w:rPr>
          <w:rFonts w:ascii="Times New Roman" w:hAnsi="Times New Roman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48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4. </w:t>
      </w:r>
      <w:r>
        <w:rPr>
          <w:rFonts w:ascii="Times New Roman" w:hAnsi="Times New Roman"/>
          <w:b/>
          <w:kern w:val="0"/>
          <w:sz w:val="24"/>
        </w:rPr>
        <w:t xml:space="preserve">Net reclassification improvement </w:t>
      </w:r>
      <w:r>
        <w:rPr>
          <w:rFonts w:ascii="Times New Roman" w:hAnsi="Times New Roman"/>
          <w:b/>
          <w:sz w:val="24"/>
        </w:rPr>
        <w:t xml:space="preserve">among patients in the highest quartile of diurnal temperature range (&gt;12.6ºC) </w:t>
      </w:r>
      <w:r>
        <w:rPr>
          <w:rFonts w:ascii="Times New Roman" w:hAnsi="Times New Roman"/>
          <w:b/>
          <w:kern w:val="0"/>
          <w:sz w:val="24"/>
        </w:rPr>
        <w:t xml:space="preserve">after adjustment for </w:t>
      </w:r>
      <w:r>
        <w:rPr>
          <w:rFonts w:ascii="Times New Roman" w:hAnsi="Times New Roman"/>
          <w:b/>
          <w:sz w:val="24"/>
        </w:rPr>
        <w:t xml:space="preserve">serum calcium concentration. </w:t>
      </w:r>
    </w:p>
    <w:tbl>
      <w:tblPr>
        <w:tblStyle w:val="2"/>
        <w:tblW w:w="861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6"/>
        <w:gridCol w:w="904"/>
        <w:gridCol w:w="904"/>
        <w:gridCol w:w="904"/>
        <w:gridCol w:w="1063"/>
        <w:gridCol w:w="1063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Predicted risk</w:t>
            </w:r>
          </w:p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(</w:t>
            </w:r>
            <w:r>
              <w:rPr>
                <w:rFonts w:ascii="Times New Roman" w:hAnsi="Times New Roman"/>
                <w:b/>
                <w:sz w:val="24"/>
              </w:rPr>
              <w:t>without serum calcium</w:t>
            </w:r>
            <w:r>
              <w:rPr>
                <w:rFonts w:ascii="Times New Roman" w:hAnsi="Times New Roman"/>
                <w:b/>
                <w:kern w:val="0"/>
                <w:sz w:val="24"/>
              </w:rPr>
              <w:t>)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712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Reclassi</w:t>
            </w:r>
            <w:r>
              <w:rPr>
                <w:rFonts w:ascii="Times New Roman" w:hAnsi="Times New Roman" w:eastAsia="AdvOTf3919c9c.B+fb"/>
                <w:b/>
                <w:kern w:val="0"/>
                <w:sz w:val="24"/>
              </w:rPr>
              <w:t>fi</w:t>
            </w:r>
            <w:r>
              <w:rPr>
                <w:rFonts w:ascii="Times New Roman" w:hAnsi="Times New Roman"/>
                <w:b/>
                <w:kern w:val="0"/>
                <w:sz w:val="24"/>
              </w:rPr>
              <w:t>ed predicted risk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(</w:t>
            </w:r>
            <w:r>
              <w:rPr>
                <w:rFonts w:ascii="Times New Roman" w:hAnsi="Times New Roman"/>
                <w:b/>
                <w:sz w:val="24"/>
              </w:rPr>
              <w:t>with serum calcium</w:t>
            </w:r>
            <w:r>
              <w:rPr>
                <w:rFonts w:ascii="Times New Roman" w:hAnsi="Times New Roman"/>
                <w:b/>
                <w:kern w:val="0"/>
                <w:sz w:val="24"/>
              </w:rPr>
              <w:t>)</w:t>
            </w:r>
          </w:p>
        </w:tc>
        <w:tc>
          <w:tcPr>
            <w:tcW w:w="3685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Reclassified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vMerge w:val="continue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&lt;15%</w:t>
            </w:r>
          </w:p>
        </w:tc>
        <w:tc>
          <w:tcPr>
            <w:tcW w:w="90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15–30%</w:t>
            </w:r>
          </w:p>
        </w:tc>
        <w:tc>
          <w:tcPr>
            <w:tcW w:w="90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&gt;30%</w:t>
            </w:r>
          </w:p>
        </w:tc>
        <w:tc>
          <w:tcPr>
            <w:tcW w:w="106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Increased risk</w:t>
            </w:r>
          </w:p>
        </w:tc>
        <w:tc>
          <w:tcPr>
            <w:tcW w:w="106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Decreased risk</w:t>
            </w:r>
          </w:p>
        </w:tc>
        <w:tc>
          <w:tcPr>
            <w:tcW w:w="1559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Net correctly reclassified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Incidence of in-hospital death</w:t>
            </w:r>
          </w:p>
        </w:tc>
        <w:tc>
          <w:tcPr>
            <w:tcW w:w="90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&lt;15%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15–30%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30.9%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2.4%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&gt;30%</w:t>
            </w:r>
          </w:p>
        </w:tc>
        <w:tc>
          <w:tcPr>
            <w:tcW w:w="90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0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0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06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063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Incidence of survival</w:t>
            </w:r>
          </w:p>
        </w:tc>
        <w:tc>
          <w:tcPr>
            <w:tcW w:w="90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04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3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&lt;15%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835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15–30%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90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4.4%</w:t>
            </w:r>
          </w:p>
        </w:tc>
        <w:tc>
          <w:tcPr>
            <w:tcW w:w="1063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1.6%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6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&gt;30%</w:t>
            </w:r>
          </w:p>
        </w:tc>
        <w:tc>
          <w:tcPr>
            <w:tcW w:w="904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04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904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063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063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559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480" w:lineRule="auto"/>
        <w:contextualSpacing/>
        <w:jc w:val="left"/>
        <w:rPr>
          <w:rFonts w:ascii="Times New Roman" w:hAnsi="Times New Roman"/>
          <w:bCs/>
          <w:iCs/>
          <w:color w:val="000000"/>
          <w:kern w:val="0"/>
          <w:sz w:val="24"/>
        </w:rPr>
      </w:pPr>
      <w:r>
        <w:rPr>
          <w:rFonts w:ascii="Times New Roman" w:hAnsi="Times New Roman"/>
          <w:kern w:val="0"/>
          <w:sz w:val="24"/>
        </w:rPr>
        <w:t xml:space="preserve">Net reclassification improvement (categorical) = 20.2% (95% confidence interval，  7.5–32.9; </w:t>
      </w:r>
      <w:r>
        <w:rPr>
          <w:rFonts w:ascii="Times New Roman" w:hAnsi="Times New Roman"/>
          <w:bCs/>
          <w:i/>
          <w:iCs/>
          <w:color w:val="000000"/>
          <w:kern w:val="0"/>
          <w:sz w:val="24"/>
        </w:rPr>
        <w:t xml:space="preserve">P </w:t>
      </w:r>
      <w:r>
        <w:rPr>
          <w:rFonts w:ascii="Times New Roman" w:hAnsi="Times New Roman"/>
          <w:bCs/>
          <w:iCs/>
          <w:color w:val="000000"/>
          <w:kern w:val="0"/>
          <w:sz w:val="24"/>
        </w:rPr>
        <w:t>= 0.001).</w:t>
      </w:r>
      <w:r>
        <w:rPr>
          <w:rFonts w:ascii="Times New Roman" w:hAnsi="Times New Roman"/>
          <w:kern w:val="0"/>
          <w:sz w:val="24"/>
        </w:rPr>
        <w:t xml:space="preserve"> Net reclassification improvement (continuous) = 57.2% (95% confidence interval，  30.0–84.3; </w:t>
      </w:r>
      <w:r>
        <w:rPr>
          <w:rFonts w:ascii="Times New Roman" w:hAnsi="Times New Roman"/>
          <w:bCs/>
          <w:i/>
          <w:iCs/>
          <w:color w:val="000000"/>
          <w:kern w:val="0"/>
          <w:sz w:val="24"/>
        </w:rPr>
        <w:t xml:space="preserve">P </w:t>
      </w:r>
      <w:r>
        <w:rPr>
          <w:rFonts w:ascii="Times New Roman" w:hAnsi="Times New Roman"/>
          <w:bCs/>
          <w:iCs/>
          <w:color w:val="000000"/>
          <w:kern w:val="0"/>
          <w:sz w:val="24"/>
        </w:rPr>
        <w:t xml:space="preserve">&lt; 0.001). </w:t>
      </w:r>
    </w:p>
    <w:p>
      <w:pPr>
        <w:spacing w:line="480" w:lineRule="auto"/>
        <w:rPr>
          <w:rFonts w:ascii="Times New Roman" w:hAnsi="Times New Roman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480" w:lineRule="auto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Supplemental </w:t>
      </w:r>
      <w:r>
        <w:rPr>
          <w:rFonts w:ascii="Times New Roman" w:hAnsi="Times New Roman"/>
          <w:b/>
          <w:kern w:val="0"/>
          <w:sz w:val="24"/>
        </w:rPr>
        <w:t>Table 1.</w:t>
      </w:r>
      <w:r>
        <w:rPr>
          <w:rFonts w:ascii="Times New Roman" w:hAnsi="Times New Roman" w:eastAsia="TimesNewRomanPS-BoldMT"/>
          <w:b/>
          <w:bCs/>
          <w:kern w:val="0"/>
          <w:sz w:val="24"/>
        </w:rPr>
        <w:t xml:space="preserve"> Univariate analysis of factors associated with in-hospital mortality in patients with </w:t>
      </w:r>
      <w:r>
        <w:rPr>
          <w:rFonts w:ascii="Times New Roman" w:hAnsi="Times New Roman"/>
          <w:b/>
          <w:sz w:val="24"/>
        </w:rPr>
        <w:t>acute myocardial infarction</w:t>
      </w:r>
      <w:r>
        <w:rPr>
          <w:rFonts w:ascii="Times New Roman" w:hAnsi="Times New Roman" w:eastAsia="TimesNewRomanPS-BoldMT"/>
          <w:b/>
          <w:bCs/>
          <w:kern w:val="0"/>
          <w:sz w:val="24"/>
        </w:rPr>
        <w:t>.</w:t>
      </w:r>
    </w:p>
    <w:tbl>
      <w:tblPr>
        <w:tblStyle w:val="2"/>
        <w:tblW w:w="829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5"/>
        <w:gridCol w:w="2764"/>
        <w:gridCol w:w="13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Factor</w:t>
            </w:r>
          </w:p>
        </w:tc>
        <w:tc>
          <w:tcPr>
            <w:tcW w:w="27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OR (95%CI)</w:t>
            </w:r>
          </w:p>
        </w:tc>
        <w:tc>
          <w:tcPr>
            <w:tcW w:w="13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kern w:val="0"/>
                <w:sz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b/>
                <w:kern w:val="0"/>
                <w:sz w:val="24"/>
              </w:rPr>
              <w:t>Demographics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Age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ind w:firstLine="120" w:firstLineChars="50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1.07 (1.05–1.08)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Gender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0.47 (0.35–0.64)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Current smoking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0.54 (0.40–0.73)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Current alcohol use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0.48 (0.26–0.89)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b/>
                <w:kern w:val="0"/>
                <w:sz w:val="24"/>
              </w:rPr>
              <w:t>Medical history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Hypertension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0.94 (0.70–1.26)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0.661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Diabetes mellitus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2.26 (1.66–3.09)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Stroke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0.89 (0.51–1.56)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0.690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Hyperlipidemia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1.30 (0.90–1.89)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0.168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In-hospital complications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Acute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heart failure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1.16 (0.76–1.76)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0.490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Acute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arrhythmia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1.30 (0.67–2.51)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Medication on admission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ACEI/ARB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0.99 (0.73–1.32)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0.917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Beta-blocker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0.86 (0.64–1.16)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0.328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Aspirin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0.95 (0.69–1.31)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0.762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Statin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0.81 (0.58–1.14)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0.225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Main diagnosis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NSTEMI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——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STEMI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0.86 (0.63–1.17)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0.331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Reperfusion strategy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PCI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0.86 (0.63–1.16)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>Thrombolysis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0.83 (0.57–1.21)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0.331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Laboratory results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bookmarkStart w:id="0" w:name="_Hlk451217744"/>
            <w:r>
              <w:rPr>
                <w:rFonts w:ascii="Times New Roman" w:hAnsi="Times New Roman"/>
                <w:sz w:val="24"/>
              </w:rPr>
              <w:t xml:space="preserve">Albumin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1.03 (0.93–1.14)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0.554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bookmarkStart w:id="1" w:name="_Hlk474607094"/>
            <w:r>
              <w:rPr>
                <w:rFonts w:ascii="Times New Roman" w:hAnsi="Times New Roman"/>
                <w:sz w:val="24"/>
              </w:rPr>
              <w:t>BUN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1.02 (0.92–1.14)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0.679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Total cholesterol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0.91 (0.61–1.36)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0.651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Total triglycerides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1.02 (0.92–1.14)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0.683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HDL-C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1.08 (1.01–1.17)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LDL-C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1.09 (0.99–1.20)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Fasting glucose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1.07 (1.00–1.15)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Serum creatinine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1.15 (0.99–1.32)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TimesNewRomanPSMT"/>
                <w:kern w:val="0"/>
                <w:sz w:val="24"/>
              </w:rPr>
              <w:t xml:space="preserve">Uric acid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1.47 (1.28–1.69)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TimesNewRomanPSMT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Serum phosphate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1.18 (1.10–1.27)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magnesium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1.04 (0.95–1.14)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0.387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potassium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1.07 (1.00–1.15)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sodium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1.06 (0.97–1.15)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0.188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chloride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0.83 (0.55–1.25)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0.368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 w:eastAsia="MinionPro-Regular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Echocardiography results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LVEF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0.62 (0.53–0.72)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LAD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1.11 (1.03–1.19)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LVEDD </w:t>
            </w:r>
          </w:p>
        </w:tc>
        <w:tc>
          <w:tcPr>
            <w:tcW w:w="2764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1.01 (0.90–1.14)</w:t>
            </w:r>
          </w:p>
        </w:tc>
        <w:tc>
          <w:tcPr>
            <w:tcW w:w="133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0.823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eastAsia="MinionPro-Regular"/>
                <w:b/>
                <w:kern w:val="0"/>
                <w:sz w:val="24"/>
              </w:rPr>
              <w:t>Main study indexes</w:t>
            </w:r>
          </w:p>
        </w:tc>
        <w:tc>
          <w:tcPr>
            <w:tcW w:w="2764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Serum calcium</w:t>
            </w:r>
            <w:r>
              <w:rPr>
                <w:rFonts w:ascii="Times New Roman" w:hAnsi="Times New Roman" w:eastAsia="MinionPro-Regular"/>
                <w:kern w:val="0"/>
                <w:sz w:val="24"/>
              </w:rPr>
              <w:t xml:space="preserve"> </w:t>
            </w:r>
          </w:p>
        </w:tc>
        <w:tc>
          <w:tcPr>
            <w:tcW w:w="276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0.53 (0.45–0.63)</w:t>
            </w:r>
          </w:p>
        </w:tc>
        <w:tc>
          <w:tcPr>
            <w:tcW w:w="133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95" w:type="dxa"/>
            <w:tcBorders>
              <w:top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DTR</w:t>
            </w:r>
          </w:p>
        </w:tc>
        <w:tc>
          <w:tcPr>
            <w:tcW w:w="2764" w:type="dxa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</w:rPr>
              <w:t>1.02 (0.98–1.07)</w:t>
            </w:r>
          </w:p>
        </w:tc>
        <w:tc>
          <w:tcPr>
            <w:tcW w:w="1337" w:type="dxa"/>
            <w:tcBorders>
              <w:top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FF0000"/>
                <w:kern w:val="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0.269</w:t>
            </w:r>
          </w:p>
        </w:tc>
      </w:tr>
      <w:bookmarkEnd w:id="0"/>
      <w:bookmarkEnd w:id="1"/>
    </w:tbl>
    <w:p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eastAsia="MinionPro-Regular"/>
          <w:kern w:val="0"/>
          <w:sz w:val="24"/>
        </w:rPr>
        <w:t xml:space="preserve">Odds ratios were calculated per one </w:t>
      </w:r>
      <w:r>
        <w:rPr>
          <w:rFonts w:ascii="Times New Roman" w:hAnsi="Times New Roman" w:eastAsia="Times-Roman"/>
          <w:kern w:val="0"/>
          <w:sz w:val="24"/>
        </w:rPr>
        <w:t>standard deviation increment</w:t>
      </w:r>
      <w:r>
        <w:rPr>
          <w:rFonts w:ascii="Times New Roman" w:hAnsi="Times New Roman" w:eastAsia="MinionPro-Regular"/>
          <w:kern w:val="0"/>
          <w:sz w:val="24"/>
        </w:rPr>
        <w:t xml:space="preserve"> of the </w:t>
      </w:r>
      <w:r>
        <w:rPr>
          <w:rFonts w:ascii="Times New Roman" w:hAnsi="Times New Roman"/>
          <w:sz w:val="24"/>
        </w:rPr>
        <w:t>continuous variable.</w:t>
      </w:r>
      <w:r>
        <w:rPr>
          <w:rFonts w:ascii="Times New Roman" w:hAnsi="Times New Roman"/>
          <w:kern w:val="0"/>
          <w:sz w:val="24"/>
        </w:rPr>
        <w:t xml:space="preserve"> Abbreviations: </w:t>
      </w:r>
      <w:r>
        <w:rPr>
          <w:rFonts w:ascii="Times New Roman" w:hAnsi="Times New Roman"/>
          <w:color w:val="000000"/>
          <w:sz w:val="24"/>
        </w:rPr>
        <w:t xml:space="preserve">ACEI，  </w:t>
      </w:r>
      <w:r>
        <w:rPr>
          <w:rFonts w:ascii="Times New Roman" w:hAnsi="Times New Roman"/>
          <w:color w:val="000000"/>
          <w:kern w:val="0"/>
          <w:sz w:val="24"/>
        </w:rPr>
        <w:t>angiotensin converting enzyme inhibitor</w:t>
      </w:r>
      <w:r>
        <w:rPr>
          <w:rFonts w:ascii="Times New Roman" w:hAnsi="Times New Roman"/>
          <w:color w:val="333333"/>
          <w:sz w:val="24"/>
          <w:shd w:val="clear" w:color="auto" w:fill="FFFFFF"/>
        </w:rPr>
        <w:t xml:space="preserve">; ARB，  </w:t>
      </w:r>
      <w:r>
        <w:rPr>
          <w:rFonts w:ascii="Times New Roman" w:hAnsi="Times New Roman"/>
          <w:color w:val="000000"/>
          <w:kern w:val="0"/>
          <w:sz w:val="24"/>
        </w:rPr>
        <w:t xml:space="preserve">angiotensin receptor blocker; </w:t>
      </w:r>
      <w:r>
        <w:rPr>
          <w:rFonts w:ascii="Times New Roman" w:hAnsi="Times New Roman"/>
          <w:sz w:val="24"/>
        </w:rPr>
        <w:t>BUN，  blood urea nitrogen</w:t>
      </w:r>
      <w:r>
        <w:rPr>
          <w:rFonts w:ascii="Times New Roman" w:hAnsi="Times New Roman" w:eastAsia="MinionPro-Regular"/>
          <w:kern w:val="0"/>
          <w:sz w:val="24"/>
        </w:rPr>
        <w:t xml:space="preserve">; </w:t>
      </w:r>
      <w:r>
        <w:rPr>
          <w:rFonts w:ascii="Times New Roman" w:hAnsi="Times New Roman"/>
          <w:kern w:val="0"/>
          <w:sz w:val="24"/>
        </w:rPr>
        <w:t>CI</w:t>
      </w:r>
      <w:r>
        <w:rPr>
          <w:rFonts w:ascii="Times New Roman" w:hAnsi="Times New Roman" w:eastAsia="AdvP4C4E74"/>
          <w:kern w:val="0"/>
          <w:sz w:val="24"/>
        </w:rPr>
        <w:t xml:space="preserve">，  </w:t>
      </w:r>
      <w:r>
        <w:rPr>
          <w:rFonts w:ascii="Times New Roman" w:hAnsi="Times New Roman"/>
          <w:kern w:val="0"/>
          <w:sz w:val="24"/>
        </w:rPr>
        <w:t>con</w:t>
      </w:r>
      <w:r>
        <w:rPr>
          <w:rFonts w:ascii="Times New Roman" w:hAnsi="Times New Roman" w:eastAsia="AdvOT2986fa51+fb"/>
          <w:kern w:val="0"/>
          <w:sz w:val="24"/>
        </w:rPr>
        <w:t>fi</w:t>
      </w:r>
      <w:r>
        <w:rPr>
          <w:rFonts w:ascii="Times New Roman" w:hAnsi="Times New Roman"/>
          <w:kern w:val="0"/>
          <w:sz w:val="24"/>
        </w:rPr>
        <w:t>dence interval;</w:t>
      </w:r>
      <w:r>
        <w:rPr>
          <w:rFonts w:ascii="Times New Roman" w:hAnsi="Times New Roman" w:eastAsia="MinionPro-Regular"/>
          <w:kern w:val="0"/>
          <w:sz w:val="24"/>
        </w:rPr>
        <w:t xml:space="preserve"> </w:t>
      </w:r>
      <w:r>
        <w:rPr>
          <w:rStyle w:val="4"/>
          <w:rFonts w:ascii="Times New Roman" w:hAnsi="Times New Roman"/>
          <w:sz w:val="24"/>
        </w:rPr>
        <w:t xml:space="preserve">DTR，  </w:t>
      </w:r>
      <w:r>
        <w:rPr>
          <w:rFonts w:ascii="Times New Roman" w:hAnsi="Times New Roman"/>
          <w:kern w:val="0"/>
          <w:sz w:val="24"/>
        </w:rPr>
        <w:t>diurnal temperature range</w:t>
      </w:r>
      <w:r>
        <w:rPr>
          <w:rStyle w:val="4"/>
          <w:rFonts w:ascii="Times New Roman" w:hAnsi="Times New Roman"/>
          <w:sz w:val="24"/>
        </w:rPr>
        <w:t xml:space="preserve">; </w:t>
      </w:r>
      <w:r>
        <w:rPr>
          <w:rFonts w:ascii="Times New Roman" w:hAnsi="Times New Roman" w:eastAsia="MinionPro-Regular"/>
          <w:kern w:val="0"/>
          <w:sz w:val="24"/>
        </w:rPr>
        <w:t xml:space="preserve">HDL-C，  high-density lipoprotein cholesterol; LAD，  </w:t>
      </w:r>
      <w:r>
        <w:rPr>
          <w:rFonts w:ascii="Times New Roman" w:hAnsi="Times New Roman"/>
          <w:color w:val="000000"/>
          <w:kern w:val="0"/>
          <w:sz w:val="24"/>
        </w:rPr>
        <w:t>left atrial diameter</w:t>
      </w:r>
      <w:r>
        <w:rPr>
          <w:rFonts w:ascii="Times New Roman" w:hAnsi="Times New Roman" w:eastAsia="MinionPro-Regular"/>
          <w:kern w:val="0"/>
          <w:sz w:val="24"/>
        </w:rPr>
        <w:t xml:space="preserve">; LDL-C，  low-density lipoprotein cholesterol; </w:t>
      </w:r>
      <w:r>
        <w:rPr>
          <w:rStyle w:val="4"/>
          <w:rFonts w:ascii="Times New Roman" w:hAnsi="Times New Roman"/>
          <w:sz w:val="24"/>
        </w:rPr>
        <w:t xml:space="preserve">LVEDD，  </w:t>
      </w:r>
      <w:r>
        <w:rPr>
          <w:rFonts w:ascii="Times New Roman" w:hAnsi="Times New Roman"/>
          <w:color w:val="000000"/>
          <w:kern w:val="0"/>
          <w:sz w:val="24"/>
        </w:rPr>
        <w:t>left ventricular end diastolic diameter</w:t>
      </w:r>
      <w:r>
        <w:rPr>
          <w:rStyle w:val="4"/>
          <w:rFonts w:ascii="Times New Roman" w:hAnsi="Times New Roman"/>
          <w:sz w:val="24"/>
        </w:rPr>
        <w:t xml:space="preserve">; LVEF，  </w:t>
      </w:r>
      <w:r>
        <w:rPr>
          <w:rFonts w:ascii="Times New Roman" w:hAnsi="Times New Roman"/>
          <w:color w:val="000000"/>
          <w:kern w:val="0"/>
          <w:sz w:val="24"/>
        </w:rPr>
        <w:t>left ventricular ejection fraction</w:t>
      </w:r>
      <w:r>
        <w:rPr>
          <w:rFonts w:ascii="Times New Roman" w:hAnsi="Times New Roman"/>
          <w:kern w:val="0"/>
          <w:sz w:val="24"/>
        </w:rPr>
        <w:t>; NSTEMI</w:t>
      </w:r>
      <w:r>
        <w:rPr>
          <w:rFonts w:ascii="Times New Roman" w:hAnsi="Times New Roman" w:eastAsia="MinionPro-Regular"/>
          <w:kern w:val="0"/>
          <w:sz w:val="24"/>
        </w:rPr>
        <w:t>，  non-</w:t>
      </w:r>
      <w:r>
        <w:rPr>
          <w:rFonts w:ascii="Times New Roman" w:hAnsi="Times New Roman"/>
          <w:kern w:val="0"/>
          <w:sz w:val="24"/>
        </w:rPr>
        <w:t>ST-segment elevation myocardial infarction</w:t>
      </w:r>
      <w:r>
        <w:rPr>
          <w:rFonts w:ascii="Times New Roman" w:hAnsi="Times New Roman" w:eastAsia="MinionPro-Regular"/>
          <w:kern w:val="0"/>
          <w:sz w:val="24"/>
        </w:rPr>
        <w:t xml:space="preserve">; </w:t>
      </w:r>
      <w:r>
        <w:rPr>
          <w:rFonts w:ascii="Times New Roman" w:hAnsi="Times New Roman"/>
          <w:color w:val="000000"/>
          <w:kern w:val="0"/>
          <w:sz w:val="24"/>
        </w:rPr>
        <w:t xml:space="preserve">OR，  </w:t>
      </w:r>
      <w:r>
        <w:rPr>
          <w:rFonts w:ascii="Times New Roman" w:hAnsi="Times New Roman" w:eastAsia="MinionPro-Regular"/>
          <w:kern w:val="0"/>
          <w:sz w:val="24"/>
        </w:rPr>
        <w:t xml:space="preserve">odds ratio; </w:t>
      </w:r>
      <w:r>
        <w:rPr>
          <w:rFonts w:ascii="Times New Roman" w:hAnsi="Times New Roman" w:eastAsia="ScalaLancetPro"/>
          <w:kern w:val="0"/>
          <w:sz w:val="24"/>
        </w:rPr>
        <w:t>STEMI</w:t>
      </w:r>
      <w:r>
        <w:rPr>
          <w:rFonts w:ascii="Times New Roman" w:hAnsi="Times New Roman"/>
          <w:kern w:val="0"/>
          <w:sz w:val="24"/>
        </w:rPr>
        <w:t>，  ST-segment elevation myocardial infarction</w:t>
      </w:r>
      <w:r>
        <w:rPr>
          <w:rFonts w:ascii="Times New Roman" w:hAnsi="Times New Roman"/>
          <w:sz w:val="24"/>
        </w:rPr>
        <w:t>.</w:t>
      </w:r>
    </w:p>
    <w:p>
      <w:pPr>
        <w:spacing w:line="480" w:lineRule="auto"/>
      </w:pPr>
    </w:p>
    <w:p>
      <w:pPr>
        <w:spacing w:line="480" w:lineRule="auto"/>
        <w:rPr>
          <w:rFonts w:ascii="Times New Roman" w:hAnsi="Times New Roman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480" w:lineRule="auto"/>
        <w:contextualSpacing/>
        <w:jc w:val="left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kern w:val="0"/>
          <w:sz w:val="24"/>
        </w:rPr>
        <w:t>S</w:t>
      </w:r>
      <w:r>
        <w:rPr>
          <w:rFonts w:hint="eastAsia" w:ascii="Times New Roman" w:hAnsi="Times New Roman"/>
          <w:b/>
          <w:kern w:val="0"/>
          <w:sz w:val="24"/>
        </w:rPr>
        <w:t xml:space="preserve">upplement </w:t>
      </w:r>
      <w:r>
        <w:rPr>
          <w:rFonts w:ascii="Times New Roman" w:hAnsi="Times New Roman"/>
          <w:b/>
          <w:kern w:val="0"/>
          <w:sz w:val="24"/>
        </w:rPr>
        <w:t xml:space="preserve">Table 2. Multivariate </w:t>
      </w:r>
      <w:r>
        <w:rPr>
          <w:rFonts w:ascii="Times New Roman" w:hAnsi="Times New Roman" w:eastAsia="TimesNewRomanPS-BoldMT"/>
          <w:b/>
          <w:bCs/>
          <w:kern w:val="0"/>
          <w:sz w:val="24"/>
        </w:rPr>
        <w:t xml:space="preserve">analysis of factors independently associated with in-hospital mortality in patients with </w:t>
      </w:r>
      <w:r>
        <w:rPr>
          <w:rFonts w:ascii="Times New Roman" w:hAnsi="Times New Roman"/>
          <w:b/>
          <w:sz w:val="24"/>
        </w:rPr>
        <w:t>acute myocardial infarction</w:t>
      </w:r>
      <w:r>
        <w:rPr>
          <w:rFonts w:ascii="Times New Roman" w:hAnsi="Times New Roman"/>
          <w:b/>
          <w:kern w:val="0"/>
          <w:sz w:val="24"/>
        </w:rPr>
        <w:t>.</w:t>
      </w:r>
    </w:p>
    <w:tbl>
      <w:tblPr>
        <w:tblStyle w:val="2"/>
        <w:tblW w:w="829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902"/>
        <w:gridCol w:w="802"/>
        <w:gridCol w:w="1127"/>
        <w:gridCol w:w="968"/>
        <w:gridCol w:w="24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Factor</w:t>
            </w:r>
          </w:p>
        </w:tc>
        <w:tc>
          <w:tcPr>
            <w:tcW w:w="90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left="-105" w:leftChars="-50" w:right="-105" w:rightChars="-5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β</w:t>
            </w:r>
          </w:p>
        </w:tc>
        <w:tc>
          <w:tcPr>
            <w:tcW w:w="80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left="-105" w:leftChars="-50" w:right="-105" w:rightChars="-5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SE</w:t>
            </w:r>
          </w:p>
        </w:tc>
        <w:tc>
          <w:tcPr>
            <w:tcW w:w="112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left="-105" w:leftChars="-50" w:right="-105" w:rightChars="-50"/>
              <w:jc w:val="center"/>
              <w:rPr>
                <w:rFonts w:ascii="Times New Roman" w:hAnsi="Times New Roman"/>
                <w:b/>
                <w:sz w:val="24"/>
                <w:vertAlign w:val="superscript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z value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P</w:t>
            </w:r>
          </w:p>
        </w:tc>
        <w:tc>
          <w:tcPr>
            <w:tcW w:w="240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OR (95%CI)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Age</w:t>
            </w:r>
          </w:p>
        </w:tc>
        <w:tc>
          <w:tcPr>
            <w:tcW w:w="902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0.05</w:t>
            </w:r>
          </w:p>
        </w:tc>
        <w:tc>
          <w:tcPr>
            <w:tcW w:w="802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0.01</w:t>
            </w:r>
          </w:p>
        </w:tc>
        <w:tc>
          <w:tcPr>
            <w:tcW w:w="1127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5.00</w:t>
            </w:r>
          </w:p>
        </w:tc>
        <w:tc>
          <w:tcPr>
            <w:tcW w:w="968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  <w:tc>
          <w:tcPr>
            <w:tcW w:w="2401" w:type="dxa"/>
            <w:tcBorders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1.05 (1.03–1.07)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Gender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-0.44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-2.52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0.012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0.64 (0.45–0.91)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Current smoking 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-0.20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-1.14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0.252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0.82 (0.58–1.15)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Current alcohol use 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-0.33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0.34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-0.98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0.326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0.72 (0.37–1.39)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Diabetes mellitus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0.63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0.17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3.67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1.87 (1.34–2.61)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HDL-C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0.10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2.53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0.011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1.11 (1.02–1.19)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TimesNewRomanPSMT"/>
                <w:kern w:val="0"/>
                <w:sz w:val="24"/>
              </w:rPr>
              <w:t>Uric acid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0.45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5.59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1.57 (1.34–1.85)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 phosphate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0.13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3.49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1.14 (1.06–1.22)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MinionPro-Regular"/>
                <w:kern w:val="0"/>
                <w:sz w:val="24"/>
              </w:rPr>
              <w:t>Serum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potassium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0.04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0.89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0.372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1.04 (0.95–1.13)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LVEF 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-0.43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0.08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-5.08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0.65 (0.55–0.77)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LAD</w:t>
            </w:r>
          </w:p>
        </w:tc>
        <w:tc>
          <w:tcPr>
            <w:tcW w:w="9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0.06</w:t>
            </w:r>
          </w:p>
        </w:tc>
        <w:tc>
          <w:tcPr>
            <w:tcW w:w="802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0.04</w:t>
            </w:r>
          </w:p>
        </w:tc>
        <w:tc>
          <w:tcPr>
            <w:tcW w:w="112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1.32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0.188</w:t>
            </w:r>
          </w:p>
        </w:tc>
        <w:tc>
          <w:tcPr>
            <w:tcW w:w="2401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1.06 (0.97–1.16)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96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Serum calcium</w:t>
            </w:r>
          </w:p>
        </w:tc>
        <w:tc>
          <w:tcPr>
            <w:tcW w:w="902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-0.58</w:t>
            </w:r>
          </w:p>
        </w:tc>
        <w:tc>
          <w:tcPr>
            <w:tcW w:w="802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0.09</w:t>
            </w:r>
          </w:p>
        </w:tc>
        <w:tc>
          <w:tcPr>
            <w:tcW w:w="1127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-6.44</w:t>
            </w:r>
          </w:p>
        </w:tc>
        <w:tc>
          <w:tcPr>
            <w:tcW w:w="968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</w:rPr>
              <w:t>&lt;0.001</w:t>
            </w:r>
          </w:p>
        </w:tc>
        <w:tc>
          <w:tcPr>
            <w:tcW w:w="2401" w:type="dxa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0.56 (0.47–0.67)</w:t>
            </w:r>
          </w:p>
        </w:tc>
      </w:tr>
    </w:tbl>
    <w:p>
      <w:pPr>
        <w:autoSpaceDE w:val="0"/>
        <w:autoSpaceDN w:val="0"/>
        <w:adjustRightInd w:val="0"/>
        <w:spacing w:line="480" w:lineRule="auto"/>
        <w:contextualSpacing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eastAsia="MinionPro-Regular"/>
          <w:kern w:val="0"/>
          <w:sz w:val="24"/>
        </w:rPr>
        <w:t xml:space="preserve">Odds ratios were calculated per one </w:t>
      </w:r>
      <w:r>
        <w:rPr>
          <w:rFonts w:ascii="Times New Roman" w:hAnsi="Times New Roman" w:eastAsia="Times-Roman"/>
          <w:kern w:val="0"/>
          <w:sz w:val="24"/>
        </w:rPr>
        <w:t>standard deviation increment</w:t>
      </w:r>
      <w:r>
        <w:rPr>
          <w:rFonts w:ascii="Times New Roman" w:hAnsi="Times New Roman" w:eastAsia="MinionPro-Regular"/>
          <w:kern w:val="0"/>
          <w:sz w:val="24"/>
        </w:rPr>
        <w:t xml:space="preserve"> of the </w:t>
      </w:r>
      <w:r>
        <w:rPr>
          <w:rFonts w:ascii="Times New Roman" w:hAnsi="Times New Roman"/>
          <w:sz w:val="24"/>
        </w:rPr>
        <w:t xml:space="preserve">continuous variable. </w:t>
      </w:r>
      <w:r>
        <w:rPr>
          <w:rFonts w:ascii="Times New Roman" w:hAnsi="Times New Roman"/>
          <w:kern w:val="0"/>
          <w:sz w:val="24"/>
        </w:rPr>
        <w:t>Abbreviations: CI</w:t>
      </w:r>
      <w:r>
        <w:rPr>
          <w:rFonts w:ascii="Times New Roman" w:hAnsi="Times New Roman" w:eastAsia="AdvP4C4E74"/>
          <w:kern w:val="0"/>
          <w:sz w:val="24"/>
        </w:rPr>
        <w:t xml:space="preserve">，  </w:t>
      </w:r>
      <w:r>
        <w:rPr>
          <w:rFonts w:ascii="Times New Roman" w:hAnsi="Times New Roman"/>
          <w:kern w:val="0"/>
          <w:sz w:val="24"/>
        </w:rPr>
        <w:t>con</w:t>
      </w:r>
      <w:r>
        <w:rPr>
          <w:rFonts w:ascii="Times New Roman" w:hAnsi="Times New Roman" w:eastAsia="AdvOT2986fa51+fb"/>
          <w:kern w:val="0"/>
          <w:sz w:val="24"/>
        </w:rPr>
        <w:t>fi</w:t>
      </w:r>
      <w:r>
        <w:rPr>
          <w:rFonts w:ascii="Times New Roman" w:hAnsi="Times New Roman"/>
          <w:kern w:val="0"/>
          <w:sz w:val="24"/>
        </w:rPr>
        <w:t>dence interval;</w:t>
      </w:r>
      <w:r>
        <w:rPr>
          <w:rFonts w:ascii="Times New Roman" w:hAnsi="Times New Roman" w:eastAsia="MinionPro-Regular"/>
          <w:kern w:val="0"/>
          <w:sz w:val="24"/>
        </w:rPr>
        <w:t xml:space="preserve"> HDL-C，  high-density lipoprotein cholesterol; LAD，  </w:t>
      </w:r>
      <w:r>
        <w:rPr>
          <w:rFonts w:ascii="Times New Roman" w:hAnsi="Times New Roman"/>
          <w:color w:val="000000"/>
          <w:kern w:val="0"/>
          <w:sz w:val="24"/>
        </w:rPr>
        <w:t>left atrial diameter</w:t>
      </w:r>
      <w:r>
        <w:rPr>
          <w:rFonts w:ascii="Times New Roman" w:hAnsi="Times New Roman"/>
          <w:sz w:val="24"/>
        </w:rPr>
        <w:t xml:space="preserve">; LVEF，  </w:t>
      </w:r>
      <w:r>
        <w:rPr>
          <w:rFonts w:ascii="Times New Roman" w:hAnsi="Times New Roman"/>
          <w:color w:val="000000"/>
          <w:kern w:val="0"/>
          <w:sz w:val="24"/>
        </w:rPr>
        <w:t xml:space="preserve">left ventricular ejection fraction; OR，  </w:t>
      </w:r>
      <w:r>
        <w:rPr>
          <w:rFonts w:ascii="Times New Roman" w:hAnsi="Times New Roman" w:eastAsia="MinionPro-Regular"/>
          <w:kern w:val="0"/>
          <w:sz w:val="24"/>
        </w:rPr>
        <w:t xml:space="preserve">odds ratio; SE，  </w:t>
      </w:r>
      <w:r>
        <w:rPr>
          <w:rFonts w:ascii="Times New Roman" w:hAnsi="Times New Roman"/>
          <w:color w:val="000000"/>
          <w:kern w:val="0"/>
          <w:sz w:val="24"/>
        </w:rPr>
        <w:t xml:space="preserve">standard error. </w:t>
      </w:r>
    </w:p>
    <w:p>
      <w:pPr>
        <w:spacing w:line="480" w:lineRule="auto"/>
        <w:contextualSpacing/>
        <w:jc w:val="left"/>
        <w:rPr>
          <w:rFonts w:ascii="Times New Roman" w:hAnsi="Times New Roman"/>
          <w:b/>
          <w:kern w:val="0"/>
          <w:sz w:val="24"/>
        </w:rPr>
      </w:pPr>
    </w:p>
    <w:p>
      <w:pPr>
        <w:spacing w:line="480" w:lineRule="auto"/>
      </w:pPr>
    </w:p>
    <w:p>
      <w:pPr>
        <w:spacing w:line="480" w:lineRule="auto"/>
        <w:rPr>
          <w:rFonts w:ascii="Times New Roman" w:hAnsi="Times New Roman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480" w:lineRule="auto"/>
        <w:contextualSpacing/>
        <w:jc w:val="center"/>
        <w:rPr>
          <w:rFonts w:ascii="Times New Roman" w:hAnsi="Times New Roman"/>
          <w:b/>
          <w:kern w:val="0"/>
          <w:sz w:val="24"/>
        </w:rPr>
      </w:pPr>
      <w:r>
        <w:rPr>
          <w:rFonts w:ascii="Times New Roman" w:hAnsi="Times New Roman"/>
          <w:b/>
          <w:sz w:val="24"/>
        </w:rPr>
        <w:t xml:space="preserve">Supplemental Table 3. The association between </w:t>
      </w:r>
      <w:r>
        <w:rPr>
          <w:rFonts w:ascii="Times New Roman" w:hAnsi="Times New Roman" w:eastAsia="MinionPro-Regular"/>
          <w:b/>
          <w:kern w:val="0"/>
          <w:sz w:val="24"/>
        </w:rPr>
        <w:t xml:space="preserve">diurnal temperature range and in-hospital mortality of patients with </w:t>
      </w:r>
      <w:r>
        <w:rPr>
          <w:rFonts w:ascii="Times New Roman" w:hAnsi="Times New Roman"/>
          <w:b/>
          <w:kern w:val="0"/>
          <w:sz w:val="24"/>
        </w:rPr>
        <w:t>acute myocardial infarction analyzed using three different logistic regression models.</w:t>
      </w:r>
      <w:r>
        <w:rPr>
          <w:rFonts w:ascii="Times New Roman" w:hAnsi="Times New Roman"/>
          <w:sz w:val="24"/>
        </w:rPr>
        <w:t xml:space="preserve"> </w:t>
      </w:r>
    </w:p>
    <w:tbl>
      <w:tblPr>
        <w:tblStyle w:val="2"/>
        <w:tblW w:w="8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152"/>
        <w:gridCol w:w="1346"/>
        <w:gridCol w:w="1347"/>
        <w:gridCol w:w="1346"/>
        <w:gridCol w:w="1347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</w:t>
            </w:r>
          </w:p>
        </w:tc>
        <w:tc>
          <w:tcPr>
            <w:tcW w:w="6538" w:type="dxa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Diurnal temperature range</w:t>
            </w:r>
          </w:p>
        </w:tc>
        <w:tc>
          <w:tcPr>
            <w:tcW w:w="941" w:type="dxa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 for trend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DTR-Q1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 xml:space="preserve"> = 945)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DTR-Q2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 xml:space="preserve"> = 910)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DTR-Q3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 xml:space="preserve"> = 972)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DTR-Q4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ascii="Times New Roman" w:hAnsi="Times New Roman"/>
                <w:i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 xml:space="preserve"> = 953)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eastAsia="TimesNewRomanPSMT"/>
                <w:kern w:val="0"/>
                <w:sz w:val="24"/>
              </w:rPr>
              <w:t>Continuous</w:t>
            </w:r>
          </w:p>
        </w:tc>
        <w:tc>
          <w:tcPr>
            <w:tcW w:w="941" w:type="dxa"/>
            <w:vMerge w:val="continue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 1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pStyle w:val="5"/>
              <w:spacing w:line="480" w:lineRule="auto"/>
              <w:jc w:val="center"/>
            </w:pPr>
            <w:r>
              <w:t>Ref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1.15 (0.74–1.80)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0.531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1.37 (0.90–2.08)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0.147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1.34 (0.88–2.05)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0.177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1.02 (0.98–1.07)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0.269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 2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1.14 (0.73–1.78)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0.576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1.32 (0.86–2.03)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0.190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1.28 (0.83–1.96)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0.265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1.02 (0.98–1.06)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0.444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3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Model 3</w:t>
            </w:r>
          </w:p>
        </w:tc>
        <w:tc>
          <w:tcPr>
            <w:tcW w:w="1152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1.16 (0.72–1.85)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0.539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1.32 (0.84–2.06)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0.226</w:t>
            </w:r>
          </w:p>
        </w:tc>
        <w:tc>
          <w:tcPr>
            <w:tcW w:w="1346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1.30 (0.82–2.04)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0.256</w:t>
            </w:r>
          </w:p>
        </w:tc>
        <w:tc>
          <w:tcPr>
            <w:tcW w:w="134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1.02 (0.98–1.06)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 xml:space="preserve"> = 0.416</w:t>
            </w:r>
          </w:p>
        </w:tc>
        <w:tc>
          <w:tcPr>
            <w:tcW w:w="94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0.214</w:t>
            </w:r>
          </w:p>
        </w:tc>
      </w:tr>
    </w:tbl>
    <w:p>
      <w:pPr>
        <w:spacing w:line="480" w:lineRule="auto"/>
        <w:rPr>
          <w:rFonts w:hint="eastAsia" w:ascii="Times New Roman" w:hAnsi="Times New Roman"/>
          <w:b/>
          <w:sz w:val="24"/>
        </w:rPr>
      </w:pPr>
      <w:r>
        <w:rPr>
          <w:rFonts w:ascii="Times New Roman" w:hAnsi="Times New Roman"/>
          <w:kern w:val="0"/>
          <w:sz w:val="24"/>
        </w:rPr>
        <w:t xml:space="preserve">Data are presented as odds ratio (95% confidence interval)，  </w:t>
      </w:r>
      <w:r>
        <w:rPr>
          <w:rFonts w:ascii="Times New Roman" w:hAnsi="Times New Roman"/>
          <w:i/>
          <w:kern w:val="0"/>
          <w:sz w:val="24"/>
        </w:rPr>
        <w:t>P</w:t>
      </w:r>
      <w:r>
        <w:rPr>
          <w:rFonts w:ascii="Times New Roman" w:hAnsi="Times New Roman"/>
          <w:kern w:val="0"/>
          <w:sz w:val="24"/>
        </w:rPr>
        <w:t xml:space="preserve"> value. </w:t>
      </w:r>
      <w:r>
        <w:rPr>
          <w:rFonts w:ascii="Times New Roman" w:hAnsi="Times New Roman"/>
          <w:sz w:val="24"/>
        </w:rPr>
        <w:t>DTR-</w:t>
      </w:r>
      <w:r>
        <w:rPr>
          <w:rFonts w:ascii="Times New Roman" w:hAnsi="Times New Roman" w:eastAsia="MinionPro-Regular"/>
          <w:kern w:val="0"/>
          <w:sz w:val="24"/>
        </w:rPr>
        <w:t xml:space="preserve">Q1: diurnal temperature range </w:t>
      </w:r>
      <w:r>
        <w:rPr>
          <w:rFonts w:ascii="Times New Roman" w:hAnsi="Times New Roman"/>
          <w:sz w:val="24"/>
        </w:rPr>
        <w:t xml:space="preserve">&lt;7.7ºC; DTR-Q2: </w:t>
      </w:r>
      <w:r>
        <w:rPr>
          <w:rFonts w:ascii="Times New Roman" w:hAnsi="Times New Roman" w:eastAsia="MinionPro-Regular"/>
          <w:kern w:val="0"/>
          <w:sz w:val="24"/>
        </w:rPr>
        <w:t>diurnal temperature range</w:t>
      </w:r>
      <w:r>
        <w:rPr>
          <w:rFonts w:ascii="Times New Roman" w:hAnsi="Times New Roman"/>
          <w:sz w:val="24"/>
        </w:rPr>
        <w:t xml:space="preserve"> 7.7–9.9ºC; DTR-Q3: </w:t>
      </w:r>
      <w:r>
        <w:rPr>
          <w:rFonts w:ascii="Times New Roman" w:hAnsi="Times New Roman" w:eastAsia="MinionPro-Regular"/>
          <w:kern w:val="0"/>
          <w:sz w:val="24"/>
        </w:rPr>
        <w:t>diurnal temperature range</w:t>
      </w:r>
      <w:r>
        <w:rPr>
          <w:rFonts w:ascii="Times New Roman" w:hAnsi="Times New Roman"/>
          <w:sz w:val="24"/>
        </w:rPr>
        <w:t xml:space="preserve"> 10.0–12.6ºC; DTR-Q4: </w:t>
      </w:r>
      <w:r>
        <w:rPr>
          <w:rFonts w:ascii="Times New Roman" w:hAnsi="Times New Roman" w:eastAsia="MinionPro-Regular"/>
          <w:kern w:val="0"/>
          <w:sz w:val="24"/>
        </w:rPr>
        <w:t>diurnal temperature range</w:t>
      </w:r>
      <w:r>
        <w:rPr>
          <w:rFonts w:ascii="Times New Roman" w:hAnsi="Times New Roman"/>
          <w:sz w:val="24"/>
        </w:rPr>
        <w:t xml:space="preserve"> &gt;12.6ºC</w:t>
      </w:r>
      <w:r>
        <w:rPr>
          <w:rFonts w:ascii="Times New Roman" w:hAnsi="Times New Roman"/>
          <w:kern w:val="0"/>
          <w:sz w:val="24"/>
        </w:rPr>
        <w:t>. Model 1: unadjusted. Model 2: adjusted for age and gender.</w:t>
      </w:r>
      <w:r>
        <w:rPr>
          <w:rFonts w:ascii="Times New Roman" w:hAnsi="Times New Roman"/>
          <w:sz w:val="24"/>
        </w:rPr>
        <w:t xml:space="preserve"> Model</w:t>
      </w:r>
      <w:r>
        <w:rPr>
          <w:rFonts w:ascii="Times New Roman" w:hAnsi="Times New Roman"/>
          <w:kern w:val="0"/>
          <w:sz w:val="24"/>
        </w:rPr>
        <w:t xml:space="preserve"> 3: adjusted for age，  gender，  </w:t>
      </w:r>
      <w:r>
        <w:rPr>
          <w:rFonts w:ascii="Times New Roman" w:hAnsi="Times New Roman"/>
          <w:sz w:val="24"/>
        </w:rPr>
        <w:t xml:space="preserve">current smoking，  current alcohol use，  diabetes mellitus，  </w:t>
      </w:r>
      <w:r>
        <w:rPr>
          <w:rFonts w:ascii="Times New Roman" w:hAnsi="Times New Roman" w:eastAsia="MinionPro-Regular"/>
          <w:kern w:val="0"/>
          <w:sz w:val="24"/>
        </w:rPr>
        <w:t xml:space="preserve">high-density lipoprotein cholesterol，  </w:t>
      </w:r>
      <w:r>
        <w:rPr>
          <w:rFonts w:ascii="Times New Roman" w:hAnsi="Times New Roman" w:eastAsia="TimesNewRomanPSMT"/>
          <w:kern w:val="0"/>
          <w:sz w:val="24"/>
        </w:rPr>
        <w:t xml:space="preserve">uric acid，  </w:t>
      </w:r>
      <w:r>
        <w:rPr>
          <w:rFonts w:ascii="Times New Roman" w:hAnsi="Times New Roman" w:eastAsia="MinionPro-Regular"/>
          <w:kern w:val="0"/>
          <w:sz w:val="24"/>
        </w:rPr>
        <w:t xml:space="preserve">serum phosphate，  serum potassium，  </w:t>
      </w:r>
      <w:r>
        <w:rPr>
          <w:rFonts w:ascii="Times New Roman" w:hAnsi="Times New Roman"/>
          <w:color w:val="000000"/>
          <w:kern w:val="0"/>
          <w:sz w:val="24"/>
        </w:rPr>
        <w:t xml:space="preserve">left ventricular ejection fraction， </w:t>
      </w:r>
      <w:r>
        <w:rPr>
          <w:rStyle w:val="4"/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</w:rPr>
        <w:t>left atrial diameter and serum calcium.</w:t>
      </w:r>
      <w:r>
        <w:rPr>
          <w:rFonts w:ascii="Times New Roman" w:hAnsi="Times New Roman" w:eastAsia="MinionPro-Regular"/>
          <w:kern w:val="0"/>
          <w:sz w:val="24"/>
        </w:rPr>
        <w:t xml:space="preserve"> When serum calcium concentration was analyzed as a continuous variable，  the odds ratio was calculated per one</w:t>
      </w:r>
      <w:r>
        <w:rPr>
          <w:rFonts w:ascii="Times New Roman" w:hAnsi="Times New Roman" w:eastAsia="Times-Roman"/>
          <w:kern w:val="0"/>
          <w:sz w:val="24"/>
        </w:rPr>
        <w:t xml:space="preserve"> standard deviation increment</w:t>
      </w:r>
      <w:r>
        <w:rPr>
          <w:rFonts w:ascii="Times New Roman" w:hAnsi="Times New Roman" w:eastAsia="MinionPro-Regular"/>
          <w:kern w:val="0"/>
          <w:sz w:val="24"/>
        </w:rPr>
        <w:t xml:space="preserve"> of </w:t>
      </w:r>
      <w:r>
        <w:rPr>
          <w:rFonts w:ascii="Times New Roman" w:hAnsi="Times New Roman"/>
          <w:sz w:val="24"/>
        </w:rPr>
        <w:t xml:space="preserve">serum calcium </w:t>
      </w:r>
      <w:r>
        <w:rPr>
          <w:rFonts w:ascii="Times New Roman" w:hAnsi="Times New Roman" w:eastAsia="MinionPro-Regular"/>
          <w:kern w:val="0"/>
          <w:sz w:val="24"/>
        </w:rPr>
        <w:t>level</w:t>
      </w:r>
    </w:p>
    <w:p>
      <w:pPr>
        <w:rPr>
          <w:rFonts w:hint="default" w:ascii="Times New Roman" w:hAnsi="Times New Roman" w:cs="Times New Roman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nionPro-Regular">
    <w:altName w:val="宋体"/>
    <w:panose1 w:val="02040503050306020203"/>
    <w:charset w:val="86"/>
    <w:family w:val="roman"/>
    <w:pitch w:val="default"/>
    <w:sig w:usb0="00000000" w:usb1="00000000" w:usb2="00000010" w:usb3="00000000" w:csb0="00040000" w:csb1="00000000"/>
  </w:font>
  <w:font w:name="ScalaLancetPro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TimesNewRomanPSMT">
    <w:altName w:val="方正舒体"/>
    <w:panose1 w:val="00000000000000000000"/>
    <w:charset w:val="86"/>
    <w:family w:val="auto"/>
    <w:pitch w:val="default"/>
    <w:sig w:usb0="00000000" w:usb1="00000000" w:usb2="00000010" w:usb3="00000000" w:csb0="00040003" w:csb1="00000000"/>
  </w:font>
  <w:font w:name="Times-Roman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  <w:font w:name="AdvOTf3919c9c.B+fb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vP4C4E74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vOT2986fa51+fb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D1A74"/>
    <w:rsid w:val="16BD1A74"/>
    <w:rsid w:val="7076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short_text"/>
    <w:basedOn w:val="3"/>
    <w:qFormat/>
    <w:uiPriority w:val="0"/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2021-12-30T08:56:00Z</dcterms:created>
  <dc:creator>梦扬</dc:creator>
  <cp:lastModifiedBy>梦扬</cp:lastModifiedBy>
  <dcterms:modified xsi:type="dcterms:W3CDTF">2021-12-30T08:58:37Z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