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43B3E5" w14:textId="77777777" w:rsidR="002A211B" w:rsidRDefault="00E21A67">
      <w:pPr>
        <w:jc w:val="center"/>
        <w:rPr>
          <w:sz w:val="36"/>
          <w:szCs w:val="36"/>
        </w:rPr>
      </w:pPr>
      <w:r>
        <w:rPr>
          <w:sz w:val="36"/>
          <w:szCs w:val="36"/>
        </w:rPr>
        <w:t>Supplementary Materials for</w:t>
      </w:r>
    </w:p>
    <w:p w14:paraId="6F594E47" w14:textId="77777777" w:rsidR="002A211B" w:rsidRDefault="002A211B"/>
    <w:p w14:paraId="7E76AE02" w14:textId="299C1F89" w:rsidR="002A211B" w:rsidRDefault="0047335E">
      <w:pPr>
        <w:jc w:val="center"/>
        <w:rPr>
          <w:sz w:val="28"/>
          <w:szCs w:val="28"/>
        </w:rPr>
      </w:pPr>
      <w:r w:rsidRPr="0047335E">
        <w:rPr>
          <w:sz w:val="28"/>
          <w:szCs w:val="28"/>
        </w:rPr>
        <w:t>The circular economy can have oligarchic tendencies in socially-unequal countries: evidence from Chile</w:t>
      </w:r>
    </w:p>
    <w:p w14:paraId="6572A5BB" w14:textId="77777777" w:rsidR="0047335E" w:rsidRDefault="0047335E">
      <w:pPr>
        <w:jc w:val="center"/>
        <w:rPr>
          <w:sz w:val="28"/>
          <w:szCs w:val="28"/>
        </w:rPr>
      </w:pPr>
    </w:p>
    <w:p w14:paraId="29FE7212" w14:textId="77777777" w:rsidR="002A211B" w:rsidRPr="00BE3A89" w:rsidRDefault="00E21A67">
      <w:pPr>
        <w:jc w:val="center"/>
        <w:rPr>
          <w:lang w:val="es-CL"/>
        </w:rPr>
      </w:pPr>
      <w:r w:rsidRPr="00BE3A89">
        <w:rPr>
          <w:lang w:val="es-CL"/>
        </w:rPr>
        <w:t>A. Espinoza, N. Valenzuela-Levi, O. Vasquez</w:t>
      </w:r>
    </w:p>
    <w:p w14:paraId="216AF362" w14:textId="77777777" w:rsidR="002A211B" w:rsidRPr="00BE3A89" w:rsidRDefault="002A211B">
      <w:pPr>
        <w:jc w:val="center"/>
        <w:rPr>
          <w:lang w:val="es-CL"/>
        </w:rPr>
      </w:pPr>
    </w:p>
    <w:p w14:paraId="1F07BE16" w14:textId="77777777" w:rsidR="002A211B" w:rsidRDefault="00E21A67">
      <w:pPr>
        <w:jc w:val="center"/>
      </w:pPr>
      <w:r>
        <w:t>Correspondence to: nicolas.valenzuelal</w:t>
      </w:r>
      <w:hyperlink r:id="rId8">
        <w:r>
          <w:t>@</w:t>
        </w:r>
      </w:hyperlink>
      <w:r>
        <w:t>usm.cl</w:t>
      </w:r>
    </w:p>
    <w:p w14:paraId="07141069" w14:textId="77777777" w:rsidR="002A211B" w:rsidRDefault="002A211B"/>
    <w:p w14:paraId="27C64B63" w14:textId="77777777" w:rsidR="002A211B" w:rsidRDefault="002A211B">
      <w:pPr>
        <w:rPr>
          <w:b/>
        </w:rPr>
      </w:pPr>
    </w:p>
    <w:p w14:paraId="7D46D420" w14:textId="101105B1" w:rsidR="002A211B" w:rsidRDefault="00E21A67">
      <w:pPr>
        <w:rPr>
          <w:b/>
        </w:rPr>
      </w:pPr>
      <w:r>
        <w:rPr>
          <w:b/>
        </w:rPr>
        <w:t>This file includes:</w:t>
      </w:r>
    </w:p>
    <w:p w14:paraId="2144D48D" w14:textId="77777777" w:rsidR="002A211B" w:rsidRDefault="002A211B"/>
    <w:p w14:paraId="689AE1B0" w14:textId="77777777" w:rsidR="002A211B" w:rsidRDefault="00E21A67">
      <w:pPr>
        <w:ind w:left="720"/>
      </w:pPr>
      <w:r>
        <w:t>Materials and Methods</w:t>
      </w:r>
    </w:p>
    <w:p w14:paraId="18D10D2F" w14:textId="77777777" w:rsidR="002A211B" w:rsidRDefault="002A211B"/>
    <w:p w14:paraId="26F37B4C" w14:textId="77777777" w:rsidR="002A211B" w:rsidRDefault="00E21A67">
      <w:r>
        <w:rPr>
          <w:b/>
        </w:rPr>
        <w:t xml:space="preserve">Other Supplementary Materials for this manuscript include the following: </w:t>
      </w:r>
    </w:p>
    <w:p w14:paraId="65CDE76D" w14:textId="77777777" w:rsidR="002A211B" w:rsidRDefault="002A211B"/>
    <w:p w14:paraId="2734321E" w14:textId="406103FE" w:rsidR="002A211B" w:rsidRDefault="0047335E">
      <w:pPr>
        <w:ind w:left="720"/>
        <w:sectPr w:rsidR="002A211B">
          <w:headerReference w:type="default" r:id="rId9"/>
          <w:footerReference w:type="default" r:id="rId10"/>
          <w:pgSz w:w="12240" w:h="15840"/>
          <w:pgMar w:top="1440" w:right="1440" w:bottom="1440" w:left="1440" w:header="720" w:footer="720" w:gutter="0"/>
          <w:pgNumType w:start="1"/>
          <w:cols w:space="720"/>
        </w:sectPr>
      </w:pPr>
      <w:r>
        <w:t>Data Set</w:t>
      </w:r>
    </w:p>
    <w:p w14:paraId="1873637F" w14:textId="77777777" w:rsidR="002A211B" w:rsidRDefault="00E21A67">
      <w:pPr>
        <w:keepNext/>
        <w:pBdr>
          <w:top w:val="nil"/>
          <w:left w:val="nil"/>
          <w:bottom w:val="nil"/>
          <w:right w:val="nil"/>
          <w:between w:val="nil"/>
        </w:pBdr>
        <w:spacing w:before="240" w:after="60"/>
        <w:rPr>
          <w:b/>
          <w:color w:val="000000"/>
        </w:rPr>
      </w:pPr>
      <w:bookmarkStart w:id="0" w:name="bookmark=id.30j0zll" w:colFirst="0" w:colLast="0"/>
      <w:bookmarkStart w:id="1" w:name="bookmark=id.1fob9te" w:colFirst="0" w:colLast="0"/>
      <w:bookmarkEnd w:id="0"/>
      <w:bookmarkEnd w:id="1"/>
      <w:r>
        <w:rPr>
          <w:b/>
          <w:color w:val="000000"/>
        </w:rPr>
        <w:lastRenderedPageBreak/>
        <w:t>Materials and Methods</w:t>
      </w:r>
    </w:p>
    <w:p w14:paraId="1DBCB443" w14:textId="77777777" w:rsidR="002A211B" w:rsidRDefault="002A211B">
      <w:pPr>
        <w:pBdr>
          <w:top w:val="nil"/>
          <w:left w:val="nil"/>
          <w:bottom w:val="nil"/>
          <w:right w:val="nil"/>
          <w:between w:val="nil"/>
        </w:pBdr>
        <w:rPr>
          <w:u w:val="single"/>
        </w:rPr>
      </w:pPr>
    </w:p>
    <w:p w14:paraId="6B5C3FDC" w14:textId="77777777" w:rsidR="002A211B" w:rsidRDefault="00E21A67">
      <w:pPr>
        <w:pStyle w:val="Heading1"/>
        <w:keepLines/>
        <w:spacing w:before="0" w:after="44" w:line="259" w:lineRule="auto"/>
        <w:ind w:left="-5"/>
        <w:rPr>
          <w:b w:val="0"/>
          <w:u w:val="single"/>
        </w:rPr>
      </w:pPr>
      <w:bookmarkStart w:id="2" w:name="_heading=h.pp25ejums08w" w:colFirst="0" w:colLast="0"/>
      <w:bookmarkEnd w:id="2"/>
      <w:r>
        <w:rPr>
          <w:b w:val="0"/>
          <w:u w:val="single"/>
        </w:rPr>
        <w:t>Data collection</w:t>
      </w:r>
    </w:p>
    <w:p w14:paraId="4D0ACCBD" w14:textId="055A17EC" w:rsidR="002A211B" w:rsidRDefault="00E21A67">
      <w:pPr>
        <w:spacing w:after="351" w:line="257" w:lineRule="auto"/>
        <w:ind w:left="-15" w:firstLine="647"/>
        <w:jc w:val="both"/>
      </w:pPr>
      <w:r>
        <w:t>We use the publicly available Registry of Emissions and Transference of Pollutants database from the Chilean Ministry of the Environment</w:t>
      </w:r>
      <w:r w:rsidRPr="00BE3A89">
        <w:rPr>
          <w:iCs/>
          <w:vertAlign w:val="superscript"/>
        </w:rPr>
        <w:t>10</w:t>
      </w:r>
      <w:r>
        <w:t xml:space="preserve">. Industrial and commercial non-hazardous polluters </w:t>
      </w:r>
      <w:r w:rsidR="00DE1E30">
        <w:t>must</w:t>
      </w:r>
      <w:r>
        <w:t xml:space="preserve"> compulsorily provide data for this registry, on an annual basis and at the level of every company and type of material. In order to </w:t>
      </w:r>
      <w:r w:rsidR="00DE1E30">
        <w:t>analyze</w:t>
      </w:r>
      <w:r>
        <w:t xml:space="preserve"> the data, we depurated the name of the companies, since </w:t>
      </w:r>
      <w:r w:rsidR="00DE1E30">
        <w:t>sometimes</w:t>
      </w:r>
      <w:r>
        <w:t xml:space="preserve"> the registry included variations in the way every polluter is named in the database. The origins of the data on donations comes from the Chilean Electoral Service</w:t>
      </w:r>
      <w:r w:rsidRPr="00BE3A89">
        <w:rPr>
          <w:iCs/>
          <w:vertAlign w:val="superscript"/>
        </w:rPr>
        <w:t>11</w:t>
      </w:r>
      <w:r>
        <w:t>. Then, since the Chilean electoral law only allows individuals to make donations to campaigns, we had to survey websites of every company and use secondary data to be able to link companies and donations.</w:t>
      </w:r>
    </w:p>
    <w:p w14:paraId="325D4534" w14:textId="77777777" w:rsidR="002A211B" w:rsidRDefault="00E21A67">
      <w:pPr>
        <w:pStyle w:val="Heading1"/>
        <w:keepLines/>
        <w:spacing w:before="0" w:after="29" w:line="259" w:lineRule="auto"/>
        <w:ind w:left="-5"/>
        <w:rPr>
          <w:b w:val="0"/>
        </w:rPr>
      </w:pPr>
      <w:r>
        <w:rPr>
          <w:b w:val="0"/>
          <w:u w:val="single"/>
        </w:rPr>
        <w:t>Methodology</w:t>
      </w:r>
    </w:p>
    <w:p w14:paraId="3F34ADDD" w14:textId="77777777" w:rsidR="002A211B" w:rsidRDefault="002A211B"/>
    <w:p w14:paraId="62FEC62F" w14:textId="10A3CC1F" w:rsidR="002A211B" w:rsidRDefault="00E21A67">
      <w:pPr>
        <w:spacing w:after="277" w:line="257" w:lineRule="auto"/>
        <w:ind w:left="-15" w:firstLine="647"/>
        <w:jc w:val="both"/>
      </w:pPr>
      <w:r>
        <w:t xml:space="preserve">The calculation of distribution and concentration within markets provides empirical data for the analysis of the structure of a specific industry and demonstrates the dimension of competitiveness among </w:t>
      </w:r>
      <w:r w:rsidR="00A81CE2">
        <w:t>companies.</w:t>
      </w:r>
      <w:r>
        <w:t xml:space="preserve"> A high degree of concentration reflects that few enterprises have advantageous dominant ability in the industry. Evidently, high concentration is linked to overall higher inequality.</w:t>
      </w:r>
    </w:p>
    <w:p w14:paraId="6305DD2D" w14:textId="6634EEAE" w:rsidR="002A211B" w:rsidRDefault="00E21A67">
      <w:pPr>
        <w:spacing w:after="4" w:line="257" w:lineRule="auto"/>
        <w:ind w:left="-15" w:firstLine="647"/>
        <w:jc w:val="both"/>
      </w:pPr>
      <w:r>
        <w:t>We base our approach to distribution and concentration on the recent contributions from inequality studies within economics. We thus extrapolate the use of similar empirical strategies to the analysis of waste generation and valorization. The most notable of these contributions from inequality studies is the seminal Palma proposition and ratio. Thanks to the studies by Palma</w:t>
      </w:r>
      <w:r w:rsidRPr="00A81CE2">
        <w:rPr>
          <w:iCs/>
          <w:vertAlign w:val="superscript"/>
        </w:rPr>
        <w:t>6, 7</w:t>
      </w:r>
      <w:r>
        <w:t xml:space="preserve"> it has been established that most variations of the income distribution within countries is mostly explained by the share of the percentiles 1 to 40 - bottom 40 percent - and 91 to 100 - top 10 percent. From this finding emerged the ’Palma ratio’ (PR), which compares shares of the top 10 percent versus the 40 bottom percent. Furthermore, the </w:t>
      </w:r>
      <w:r w:rsidR="00A81CE2">
        <w:t>stylized</w:t>
      </w:r>
      <w:r>
        <w:t xml:space="preserve"> fact of the significance of concentration for the overall inequality is known as the ’Palma proposition’</w:t>
      </w:r>
      <w:r w:rsidRPr="00A81CE2">
        <w:rPr>
          <w:iCs/>
          <w:vertAlign w:val="superscript"/>
        </w:rPr>
        <w:t>3</w:t>
      </w:r>
      <w:r>
        <w:t xml:space="preserve"> and entails a criticism of the most common indicator used to measure inequality: the Gini Coefficient (GC).</w:t>
      </w:r>
    </w:p>
    <w:p w14:paraId="7302FAF6" w14:textId="362A4871" w:rsidR="002A211B" w:rsidRDefault="00E21A67">
      <w:pPr>
        <w:spacing w:after="4" w:line="257" w:lineRule="auto"/>
        <w:ind w:left="-15" w:firstLine="647"/>
        <w:jc w:val="both"/>
      </w:pPr>
      <w:r>
        <w:t xml:space="preserve">The GC was originally formulated to measure income inequality and has also been used to measure the level of inequality of businesses. It is calculated with the equation (1) and the index varies from 0 to 1; when </w:t>
      </w:r>
      <w:r>
        <w:rPr>
          <w:i/>
        </w:rPr>
        <w:t xml:space="preserve">GC </w:t>
      </w:r>
      <w:r>
        <w:t xml:space="preserve">= 0 signifies that market inequality is zero, and </w:t>
      </w:r>
      <w:r>
        <w:rPr>
          <w:i/>
        </w:rPr>
        <w:t xml:space="preserve">GC </w:t>
      </w:r>
      <w:r>
        <w:t xml:space="preserve">=1 represents that market inequality is absolute. The Gini index was also determined as percentage, being equal to the </w:t>
      </w:r>
      <w:r>
        <w:rPr>
          <w:i/>
        </w:rPr>
        <w:t xml:space="preserve">GC </w:t>
      </w:r>
      <w:r>
        <w:t>multiplied by 100.</w:t>
      </w:r>
    </w:p>
    <w:p w14:paraId="5462939F" w14:textId="77777777" w:rsidR="002A211B" w:rsidRDefault="00E21A67">
      <w:pPr>
        <w:tabs>
          <w:tab w:val="center" w:pos="3869"/>
          <w:tab w:val="right" w:pos="7771"/>
        </w:tabs>
        <w:spacing w:after="92" w:line="259" w:lineRule="auto"/>
      </w:pPr>
      <w:r>
        <w:tab/>
      </w:r>
      <w:r>
        <w:rPr>
          <w:noProof/>
          <w:lang w:val="en-GB" w:eastAsia="en-GB"/>
        </w:rPr>
        <w:drawing>
          <wp:inline distT="0" distB="0" distL="0" distR="0" wp14:anchorId="63FC1F54" wp14:editId="5A4ACE8D">
            <wp:extent cx="1655064" cy="332232"/>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1655064" cy="332232"/>
                    </a:xfrm>
                    <a:prstGeom prst="rect">
                      <a:avLst/>
                    </a:prstGeom>
                    <a:ln/>
                  </pic:spPr>
                </pic:pic>
              </a:graphicData>
            </a:graphic>
          </wp:inline>
        </w:drawing>
      </w:r>
      <w:r>
        <w:rPr>
          <w:i/>
        </w:rPr>
        <w:t>,</w:t>
      </w:r>
      <w:r>
        <w:rPr>
          <w:i/>
        </w:rPr>
        <w:tab/>
      </w:r>
      <w:r>
        <w:t>(1)</w:t>
      </w:r>
    </w:p>
    <w:p w14:paraId="64C61619" w14:textId="77777777" w:rsidR="002A211B" w:rsidRDefault="00E21A67">
      <w:pPr>
        <w:spacing w:after="281" w:line="257" w:lineRule="auto"/>
        <w:ind w:left="-15"/>
        <w:jc w:val="both"/>
      </w:pPr>
      <w:r>
        <w:t xml:space="preserve">where </w:t>
      </w:r>
      <w:r>
        <w:rPr>
          <w:i/>
        </w:rPr>
        <w:t xml:space="preserve">n </w:t>
      </w:r>
      <w:r>
        <w:t xml:space="preserve">represents the number of enterprises in a particular market; </w:t>
      </w:r>
      <w:proofErr w:type="spellStart"/>
      <w:proofErr w:type="gramStart"/>
      <w:r>
        <w:rPr>
          <w:i/>
        </w:rPr>
        <w:t>s</w:t>
      </w:r>
      <w:r>
        <w:rPr>
          <w:i/>
          <w:vertAlign w:val="subscript"/>
        </w:rPr>
        <w:t>i,j</w:t>
      </w:r>
      <w:proofErr w:type="spellEnd"/>
      <w:proofErr w:type="gramEnd"/>
      <w:r>
        <w:rPr>
          <w:i/>
          <w:vertAlign w:val="subscript"/>
        </w:rPr>
        <w:t xml:space="preserve"> </w:t>
      </w:r>
      <w:r>
        <w:t xml:space="preserve">is the cumulative market share ordered from the lowest to the highest; </w:t>
      </w:r>
      <w:proofErr w:type="spellStart"/>
      <w:r>
        <w:rPr>
          <w:i/>
        </w:rPr>
        <w:t>s</w:t>
      </w:r>
      <w:r>
        <w:rPr>
          <w:i/>
          <w:vertAlign w:val="subscript"/>
        </w:rPr>
        <w:t>i</w:t>
      </w:r>
      <w:proofErr w:type="spellEnd"/>
      <w:r>
        <w:rPr>
          <w:i/>
          <w:vertAlign w:val="subscript"/>
        </w:rPr>
        <w:t xml:space="preserve"> </w:t>
      </w:r>
      <w:r>
        <w:t xml:space="preserve">is the percent market share of enterprise </w:t>
      </w:r>
      <w:proofErr w:type="spellStart"/>
      <w:r>
        <w:rPr>
          <w:i/>
        </w:rPr>
        <w:t>i</w:t>
      </w:r>
      <w:proofErr w:type="spellEnd"/>
      <w:r>
        <w:t>.</w:t>
      </w:r>
    </w:p>
    <w:p w14:paraId="1E4AA708" w14:textId="468FBAF2" w:rsidR="002A211B" w:rsidRDefault="00E21A67">
      <w:pPr>
        <w:spacing w:after="4" w:line="257" w:lineRule="auto"/>
        <w:ind w:left="-15" w:firstLine="647"/>
        <w:jc w:val="both"/>
      </w:pPr>
      <w:r>
        <w:lastRenderedPageBreak/>
        <w:t>However, the Gini index says little about where significant inequality occurs. As mentioned above, Palma</w:t>
      </w:r>
      <w:r w:rsidRPr="00A81CE2">
        <w:rPr>
          <w:iCs/>
          <w:vertAlign w:val="superscript"/>
        </w:rPr>
        <w:t>6</w:t>
      </w:r>
      <w:r>
        <w:t xml:space="preserve"> revealed that changes in income distribution are concentrated in the ’tails’ of the distribution, whereas the income shared by middle group - percentiles 41 to 90 - is relatively stable at 50 percent of the national income across countries. Therefore, as a complementary measure to the GC, the Palma Ratio captures the more specific dynamics distribution. The PR provides a simple quantile measure for which the cutting points derive from relevant empirical regularities. Both concentration and inequality measures are used in our research to assess the producers and clients of the waste valorization sector that is expanding in Chile.</w:t>
      </w:r>
    </w:p>
    <w:p w14:paraId="30F6B19A" w14:textId="77777777" w:rsidR="002A211B" w:rsidRDefault="002A211B">
      <w:pPr>
        <w:spacing w:after="4" w:line="257" w:lineRule="auto"/>
        <w:ind w:left="-15" w:firstLine="647"/>
        <w:jc w:val="both"/>
      </w:pPr>
    </w:p>
    <w:p w14:paraId="030836AB" w14:textId="77777777" w:rsidR="002A211B" w:rsidRDefault="00E21A67">
      <w:pPr>
        <w:pStyle w:val="Heading2"/>
        <w:keepLines/>
        <w:spacing w:before="0" w:after="2" w:line="259" w:lineRule="auto"/>
        <w:ind w:left="-5"/>
        <w:rPr>
          <w:rFonts w:ascii="Times New Roman" w:hAnsi="Times New Roman"/>
          <w:b w:val="0"/>
          <w:i w:val="0"/>
          <w:sz w:val="24"/>
          <w:szCs w:val="24"/>
          <w:u w:val="single"/>
        </w:rPr>
      </w:pPr>
      <w:r>
        <w:rPr>
          <w:rFonts w:ascii="Times New Roman" w:hAnsi="Times New Roman"/>
          <w:b w:val="0"/>
          <w:i w:val="0"/>
          <w:sz w:val="24"/>
          <w:szCs w:val="24"/>
          <w:u w:val="single"/>
        </w:rPr>
        <w:t>Political linkages</w:t>
      </w:r>
    </w:p>
    <w:p w14:paraId="6D25E9CD" w14:textId="77777777" w:rsidR="002A211B" w:rsidRDefault="002A211B"/>
    <w:p w14:paraId="628759B4" w14:textId="138D0B5A" w:rsidR="002A211B" w:rsidRDefault="00E21A67">
      <w:pPr>
        <w:spacing w:after="228" w:line="257" w:lineRule="auto"/>
        <w:ind w:left="-15" w:firstLine="647"/>
        <w:jc w:val="both"/>
        <w:rPr>
          <w:u w:val="single"/>
        </w:rPr>
      </w:pPr>
      <w:r>
        <w:t xml:space="preserve">Although the indicators of distribution and concentration can allow us to verify the existence or absence of oligopoly and oligopsony, our research required further analysis on the relationship between the main actors in the sector and national power structures. In order to account for this relationship, we look at the owners and </w:t>
      </w:r>
      <w:r w:rsidR="00BF16AD">
        <w:t>high-level</w:t>
      </w:r>
      <w:r>
        <w:t xml:space="preserve"> managers of the companies that concentrate generation and valorization. We collected these names by looking at the publicly available data in the companies’ websites. We then took advantage of the 2021 elections for the Chilean Constitutional Convention, in order to observe donations to campaigns by individuals linked to these companies. This election is particularly interesting, since it was called after a social outbreak in </w:t>
      </w:r>
      <w:r w:rsidR="00BF16AD">
        <w:t>October</w:t>
      </w:r>
      <w:r>
        <w:t xml:space="preserve"> 2019, which contested inequality, corruption and led to an agreement to write a new constitution. There is no other body of legislation with higher hierarchy to set the rule of law in Chile, and therefore support for candidates provides a clear positioning of these companies. The hypothesis of the existence of oligarchic tendencies can be accepted if the same companies that are part of an oligopoly-oligopsony in waste valorization are also those which influence the political process to set the rules of the game.</w:t>
      </w:r>
    </w:p>
    <w:p w14:paraId="7D894573" w14:textId="77777777" w:rsidR="002A211B" w:rsidRDefault="002A211B">
      <w:pPr>
        <w:pBdr>
          <w:top w:val="nil"/>
          <w:left w:val="nil"/>
          <w:bottom w:val="nil"/>
          <w:right w:val="nil"/>
          <w:between w:val="nil"/>
        </w:pBdr>
        <w:rPr>
          <w:color w:val="000000"/>
        </w:rPr>
      </w:pPr>
    </w:p>
    <w:p w14:paraId="163A3EAC" w14:textId="7569334A" w:rsidR="002A211B" w:rsidRDefault="00E21A67">
      <w:pPr>
        <w:keepNext/>
        <w:pBdr>
          <w:top w:val="nil"/>
          <w:left w:val="nil"/>
          <w:bottom w:val="nil"/>
          <w:right w:val="nil"/>
          <w:between w:val="nil"/>
        </w:pBdr>
        <w:spacing w:before="240" w:after="60"/>
        <w:rPr>
          <w:b/>
          <w:color w:val="000000"/>
        </w:rPr>
      </w:pPr>
      <w:r>
        <w:rPr>
          <w:b/>
          <w:color w:val="000000"/>
        </w:rPr>
        <w:t xml:space="preserve">Data </w:t>
      </w:r>
      <w:r w:rsidR="0047335E">
        <w:rPr>
          <w:b/>
          <w:color w:val="000000"/>
        </w:rPr>
        <w:t>Set</w:t>
      </w:r>
      <w:r>
        <w:rPr>
          <w:b/>
          <w:color w:val="000000"/>
        </w:rPr>
        <w:t>. (</w:t>
      </w:r>
      <w:r w:rsidR="00BF16AD">
        <w:rPr>
          <w:b/>
          <w:color w:val="000000"/>
        </w:rPr>
        <w:t>Separate</w:t>
      </w:r>
      <w:r>
        <w:rPr>
          <w:b/>
          <w:color w:val="000000"/>
        </w:rPr>
        <w:t xml:space="preserve"> file)</w:t>
      </w:r>
    </w:p>
    <w:p w14:paraId="5383038E" w14:textId="77777777" w:rsidR="002A211B" w:rsidRDefault="00E21A67">
      <w:pPr>
        <w:pBdr>
          <w:top w:val="nil"/>
          <w:left w:val="nil"/>
          <w:bottom w:val="nil"/>
          <w:right w:val="nil"/>
          <w:between w:val="nil"/>
        </w:pBdr>
        <w:rPr>
          <w:color w:val="000000"/>
        </w:rPr>
      </w:pPr>
      <w:r>
        <w:t>Complete dataset used in the analysis.</w:t>
      </w:r>
      <w:r>
        <w:rPr>
          <w:color w:val="000000"/>
        </w:rPr>
        <w:t xml:space="preserve"> </w:t>
      </w:r>
    </w:p>
    <w:p w14:paraId="642C4BD4" w14:textId="77777777" w:rsidR="002A211B" w:rsidRDefault="002A211B">
      <w:pPr>
        <w:pBdr>
          <w:top w:val="nil"/>
          <w:left w:val="nil"/>
          <w:bottom w:val="nil"/>
          <w:right w:val="nil"/>
          <w:between w:val="nil"/>
        </w:pBdr>
        <w:rPr>
          <w:color w:val="000000"/>
        </w:rPr>
      </w:pPr>
    </w:p>
    <w:p w14:paraId="1265FDC7" w14:textId="77777777" w:rsidR="002A211B" w:rsidRDefault="002A211B">
      <w:pPr>
        <w:pBdr>
          <w:top w:val="nil"/>
          <w:left w:val="nil"/>
          <w:bottom w:val="nil"/>
          <w:right w:val="nil"/>
          <w:between w:val="nil"/>
        </w:pBdr>
        <w:rPr>
          <w:color w:val="000000"/>
        </w:rPr>
      </w:pPr>
      <w:bookmarkStart w:id="3" w:name="_GoBack"/>
      <w:bookmarkEnd w:id="3"/>
    </w:p>
    <w:sectPr w:rsidR="002A211B">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3112AB" w14:textId="77777777" w:rsidR="00BE0F75" w:rsidRDefault="00BE0F75">
      <w:r>
        <w:separator/>
      </w:r>
    </w:p>
  </w:endnote>
  <w:endnote w:type="continuationSeparator" w:id="0">
    <w:p w14:paraId="0927063F" w14:textId="77777777" w:rsidR="00BE0F75" w:rsidRDefault="00BE0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Times">
    <w:panose1 w:val="000000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78B94D" w14:textId="77777777" w:rsidR="002A211B" w:rsidRDefault="00E21A67">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47335E">
      <w:rPr>
        <w:noProof/>
        <w:color w:val="000000"/>
      </w:rPr>
      <w:t>1</w:t>
    </w:r>
    <w:r>
      <w:rPr>
        <w:color w:val="000000"/>
      </w:rPr>
      <w:fldChar w:fldCharType="end"/>
    </w:r>
  </w:p>
  <w:p w14:paraId="48697C0A" w14:textId="77777777" w:rsidR="002A211B" w:rsidRDefault="002A211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1C6F6F" w14:textId="77777777" w:rsidR="00BE0F75" w:rsidRDefault="00BE0F75">
      <w:r>
        <w:separator/>
      </w:r>
    </w:p>
  </w:footnote>
  <w:footnote w:type="continuationSeparator" w:id="0">
    <w:p w14:paraId="7BF87E99" w14:textId="77777777" w:rsidR="00BE0F75" w:rsidRDefault="00BE0F7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D28701" w14:textId="77777777" w:rsidR="002A211B" w:rsidRDefault="002A211B">
    <w:pPr>
      <w:jc w:val="right"/>
      <w:rPr>
        <w:sz w:val="20"/>
        <w:szCs w:val="20"/>
      </w:rPr>
    </w:pPr>
  </w:p>
  <w:p w14:paraId="0B91F0C2" w14:textId="77777777" w:rsidR="002A211B" w:rsidRDefault="002A211B"/>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94196"/>
    <w:multiLevelType w:val="multilevel"/>
    <w:tmpl w:val="A7E48A4A"/>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11B"/>
    <w:rsid w:val="00085018"/>
    <w:rsid w:val="002A211B"/>
    <w:rsid w:val="0047335E"/>
    <w:rsid w:val="00A81CE2"/>
    <w:rsid w:val="00BE0F75"/>
    <w:rsid w:val="00BE3A89"/>
    <w:rsid w:val="00BF16AD"/>
    <w:rsid w:val="00DE1E30"/>
    <w:rsid w:val="00E21A6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2B2D1"/>
  <w15:docId w15:val="{B2A1715B-3743-48BC-8A80-BA0E022FC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s-CL"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style>
  <w:style w:type="paragraph" w:styleId="Heading1">
    <w:name w:val="heading 1"/>
    <w:basedOn w:val="Normal"/>
    <w:next w:val="Normal"/>
    <w:link w:val="Heading1Char"/>
    <w:uiPriority w:val="9"/>
    <w:qFormat/>
    <w:rsid w:val="00B43B31"/>
    <w:pPr>
      <w:keepNext/>
      <w:spacing w:before="240" w:after="60"/>
      <w:outlineLvl w:val="0"/>
    </w:pPr>
    <w:rPr>
      <w:b/>
      <w:bCs/>
      <w:kern w:val="32"/>
    </w:rPr>
  </w:style>
  <w:style w:type="paragraph" w:styleId="Heading2">
    <w:name w:val="heading 2"/>
    <w:basedOn w:val="Normal"/>
    <w:next w:val="Normal"/>
    <w:link w:val="Heading2Char"/>
    <w:uiPriority w:val="9"/>
    <w:unhideWhenUsed/>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uiPriority w:val="9"/>
    <w:semiHidden/>
    <w:unhideWhenUsed/>
    <w:qFormat/>
    <w:rsid w:val="00C600D9"/>
    <w:pPr>
      <w:keepNext/>
      <w:spacing w:line="480" w:lineRule="auto"/>
      <w:outlineLvl w:val="2"/>
    </w:pPr>
    <w:rPr>
      <w:rFonts w:ascii="Times" w:eastAsia="Times" w:hAnsi="Times"/>
      <w:b/>
    </w:rPr>
  </w:style>
  <w:style w:type="paragraph" w:styleId="Heading4">
    <w:name w:val="heading 4"/>
    <w:basedOn w:val="Normal"/>
    <w:next w:val="Normal"/>
    <w:uiPriority w:val="9"/>
    <w:semiHidden/>
    <w:unhideWhenUsed/>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uiPriority w:val="9"/>
    <w:semiHidden/>
    <w:unhideWhenUsed/>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rPr>
  </w:style>
  <w:style w:type="paragraph" w:styleId="Heading8">
    <w:name w:val="heading 8"/>
    <w:basedOn w:val="Normal"/>
    <w:next w:val="Normal"/>
    <w:link w:val="Heading8Char"/>
    <w:semiHidden/>
    <w:qFormat/>
    <w:rsid w:val="007411A1"/>
    <w:pPr>
      <w:spacing w:before="240" w:after="60"/>
      <w:outlineLvl w:val="7"/>
    </w:pPr>
    <w:rPr>
      <w:rFonts w:ascii="Calibri" w:hAnsi="Calibri"/>
      <w:i/>
      <w:iCs/>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405336"/>
    <w:pPr>
      <w:spacing w:before="240" w:after="60"/>
      <w:jc w:val="center"/>
      <w:outlineLvl w:val="0"/>
    </w:pPr>
    <w:rPr>
      <w:rFonts w:ascii="Cambria" w:hAnsi="Cambria"/>
      <w:b/>
      <w:bCs/>
      <w:kern w:val="28"/>
      <w:sz w:val="32"/>
      <w:szCs w:val="32"/>
    </w:rPr>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tabs>
        <w:tab w:val="num" w:pos="720"/>
      </w:tabs>
      <w:ind w:left="720" w:hanging="720"/>
      <w:contextualSpacing/>
    </w:pPr>
  </w:style>
  <w:style w:type="paragraph" w:styleId="ListBullet3">
    <w:name w:val="List Bullet 3"/>
    <w:basedOn w:val="Normal"/>
    <w:semiHidden/>
    <w:rsid w:val="00405336"/>
    <w:pPr>
      <w:tabs>
        <w:tab w:val="num" w:pos="720"/>
      </w:tabs>
      <w:ind w:left="720" w:hanging="720"/>
      <w:contextualSpacing/>
    </w:pPr>
  </w:style>
  <w:style w:type="paragraph" w:styleId="ListBullet4">
    <w:name w:val="List Bullet 4"/>
    <w:basedOn w:val="Normal"/>
    <w:semiHidden/>
    <w:rsid w:val="00405336"/>
    <w:pPr>
      <w:tabs>
        <w:tab w:val="num" w:pos="720"/>
      </w:tabs>
      <w:ind w:left="720" w:hanging="720"/>
      <w:contextualSpacing/>
    </w:pPr>
  </w:style>
  <w:style w:type="paragraph" w:styleId="ListBullet5">
    <w:name w:val="List Bullet 5"/>
    <w:basedOn w:val="Normal"/>
    <w:semiHidden/>
    <w:rsid w:val="00405336"/>
    <w:pPr>
      <w:tabs>
        <w:tab w:val="num" w:pos="720"/>
      </w:tabs>
      <w:ind w:left="720" w:hanging="720"/>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tabs>
        <w:tab w:val="num" w:pos="720"/>
      </w:tabs>
      <w:ind w:left="720" w:hanging="720"/>
      <w:contextualSpacing/>
    </w:pPr>
  </w:style>
  <w:style w:type="paragraph" w:styleId="ListNumber2">
    <w:name w:val="List Number 2"/>
    <w:basedOn w:val="Normal"/>
    <w:semiHidden/>
    <w:rsid w:val="00405336"/>
    <w:pPr>
      <w:tabs>
        <w:tab w:val="num" w:pos="720"/>
      </w:tabs>
      <w:ind w:left="720" w:hanging="720"/>
      <w:contextualSpacing/>
    </w:pPr>
  </w:style>
  <w:style w:type="paragraph" w:styleId="ListNumber3">
    <w:name w:val="List Number 3"/>
    <w:basedOn w:val="Normal"/>
    <w:semiHidden/>
    <w:rsid w:val="00405336"/>
    <w:pPr>
      <w:tabs>
        <w:tab w:val="num" w:pos="720"/>
      </w:tabs>
      <w:ind w:left="720" w:hanging="720"/>
      <w:contextualSpacing/>
    </w:pPr>
  </w:style>
  <w:style w:type="paragraph" w:styleId="ListNumber4">
    <w:name w:val="List Number 4"/>
    <w:basedOn w:val="Normal"/>
    <w:semiHidden/>
    <w:rsid w:val="00405336"/>
    <w:pPr>
      <w:tabs>
        <w:tab w:val="num" w:pos="720"/>
      </w:tabs>
      <w:ind w:left="720" w:hanging="720"/>
      <w:contextualSpacing/>
    </w:pPr>
  </w:style>
  <w:style w:type="paragraph" w:styleId="ListNumber5">
    <w:name w:val="List Number 5"/>
    <w:basedOn w:val="Normal"/>
    <w:semiHidden/>
    <w:rsid w:val="00405336"/>
    <w:pPr>
      <w:tabs>
        <w:tab w:val="num" w:pos="720"/>
      </w:tabs>
      <w:ind w:left="720" w:hanging="720"/>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style>
  <w:style w:type="paragraph" w:styleId="NormalWeb">
    <w:name w:val="Normal (Web)"/>
    <w:basedOn w:val="Normal"/>
    <w:semiHidden/>
    <w:rsid w:val="00405336"/>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UnresolvedMention">
    <w:name w:val="Unresolved Mention"/>
    <w:basedOn w:val="DefaultParagraphFont"/>
    <w:uiPriority w:val="99"/>
    <w:semiHidden/>
    <w:unhideWhenUsed/>
    <w:rsid w:val="008218C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xxxxx@xxxx.xxx"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2BPu3bGDUXqqrQ2bsjxGxokWmA==">AMUW2mUyXvDBdNqVP+3MLwyDryF8LQBp0eyBgHhHxVQMP+k5qwC4rtgS2tc7hYgFnIauEGHooMqvEtTTvF66S68O4ftCmf6P/6DK0IWgLOajl+V1DGOR9gxtyyGM7y3hvNfhEuVQ7KS3bouaULYvs6Wo4GhnfWFVlqJJ20u3rtaqqdTUSJcO2vU=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791</Words>
  <Characters>4515</Characters>
  <Application>Microsoft Macintosh Word</Application>
  <DocSecurity>0</DocSecurity>
  <Lines>37</Lines>
  <Paragraphs>10</Paragraphs>
  <ScaleCrop>false</ScaleCrop>
  <Company/>
  <LinksUpToDate>false</LinksUpToDate>
  <CharactersWithSpaces>5296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Brooks Hanson</dc:creator>
  <cp:lastModifiedBy>N. Valenzuela</cp:lastModifiedBy>
  <cp:revision>2</cp:revision>
  <dcterms:created xsi:type="dcterms:W3CDTF">2021-12-27T20:50:00Z</dcterms:created>
  <dcterms:modified xsi:type="dcterms:W3CDTF">2021-12-27T20:50:00Z</dcterms:modified>
</cp:coreProperties>
</file>