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169" w:rsidRPr="00A977A4" w:rsidRDefault="00065169" w:rsidP="00065169">
      <w:pPr>
        <w:jc w:val="both"/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S</w:t>
      </w:r>
      <w:r w:rsidRPr="00A977A4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u</w:t>
      </w:r>
      <w:r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>ppl</w:t>
      </w:r>
      <w:r w:rsidRPr="00A977A4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</w:rPr>
        <w:t xml:space="preserve">ementary data </w:t>
      </w:r>
    </w:p>
    <w:p w:rsidR="00065169" w:rsidRPr="00A977A4" w:rsidRDefault="00065169" w:rsidP="00065169">
      <w:pPr>
        <w:jc w:val="both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:rsidR="00065169" w:rsidRDefault="00065169" w:rsidP="00065169">
      <w:pPr>
        <w:jc w:val="both"/>
        <w:rPr>
          <w:rFonts w:ascii="Arial" w:eastAsia="Times New Roman" w:hAnsi="Arial" w:cs="Arial"/>
          <w:b/>
          <w:color w:val="222222"/>
          <w:shd w:val="clear" w:color="auto" w:fill="FFFFFF"/>
        </w:rPr>
      </w:pP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Su</w:t>
      </w:r>
      <w:r>
        <w:rPr>
          <w:rFonts w:ascii="Arial" w:eastAsia="Times New Roman" w:hAnsi="Arial" w:cs="Arial"/>
          <w:b/>
          <w:color w:val="222222"/>
          <w:shd w:val="clear" w:color="auto" w:fill="FFFFFF"/>
        </w:rPr>
        <w:t>pp</w:t>
      </w: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 xml:space="preserve">. Figure 1. Toxicity assay in </w:t>
      </w:r>
      <w:r w:rsidRPr="00A977A4">
        <w:rPr>
          <w:rFonts w:ascii="Arial" w:eastAsia="Times New Roman" w:hAnsi="Arial" w:cs="Arial"/>
          <w:b/>
          <w:i/>
          <w:color w:val="222222"/>
          <w:shd w:val="clear" w:color="auto" w:fill="FFFFFF"/>
        </w:rPr>
        <w:t xml:space="preserve">C. </w:t>
      </w:r>
      <w:proofErr w:type="spellStart"/>
      <w:r w:rsidRPr="00A977A4">
        <w:rPr>
          <w:rFonts w:ascii="Arial" w:eastAsia="Times New Roman" w:hAnsi="Arial" w:cs="Arial"/>
          <w:b/>
          <w:i/>
          <w:color w:val="222222"/>
          <w:shd w:val="clear" w:color="auto" w:fill="FFFFFF"/>
        </w:rPr>
        <w:t>elegans</w:t>
      </w:r>
      <w:proofErr w:type="spellEnd"/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 xml:space="preserve"> and SH</w:t>
      </w:r>
      <w:r>
        <w:rPr>
          <w:rFonts w:ascii="Arial" w:eastAsia="Times New Roman" w:hAnsi="Arial" w:cs="Arial"/>
          <w:b/>
          <w:color w:val="222222"/>
          <w:shd w:val="clear" w:color="auto" w:fill="FFFFFF"/>
        </w:rPr>
        <w:t>-</w:t>
      </w: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SY5Y differentiation</w:t>
      </w:r>
    </w:p>
    <w:p w:rsidR="00065169" w:rsidRDefault="00065169" w:rsidP="00065169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  <w:r w:rsidRPr="00DA36B4"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a, Effects of 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>PEP</w:t>
      </w:r>
      <w:r w:rsidRPr="00DA36B4"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(25 to 500</w:t>
      </w:r>
      <w:r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 </w:t>
      </w:r>
      <w:r w:rsidRPr="00DA36B4">
        <w:rPr>
          <w:rFonts w:ascii="Cambria Math" w:eastAsia="Times New Roman" w:hAnsi="Cambria Math" w:cs="Cambria Math"/>
          <w:color w:val="222222"/>
          <w:shd w:val="clear" w:color="auto" w:fill="FFFFFF"/>
        </w:rPr>
        <w:t>𝝁</w:t>
      </w:r>
      <w:r w:rsidRPr="00DA36B4">
        <w:rPr>
          <w:rFonts w:ascii="Arial" w:eastAsia="Times New Roman" w:hAnsi="Arial" w:cs="Arial"/>
          <w:color w:val="222222"/>
          <w:shd w:val="clear" w:color="auto" w:fill="FFFFFF"/>
        </w:rPr>
        <w:t>g/mL)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 </w:t>
      </w:r>
      <w:r w:rsidRPr="00DA36B4">
        <w:rPr>
          <w:rFonts w:ascii="Arial" w:eastAsia="Times New Roman" w:hAnsi="Arial" w:cs="Arial"/>
          <w:bCs/>
          <w:color w:val="222222"/>
          <w:shd w:val="clear" w:color="auto" w:fill="FFFFFF"/>
        </w:rPr>
        <w:t xml:space="preserve">on </w:t>
      </w:r>
      <w:r w:rsidRPr="00DA36B4">
        <w:rPr>
          <w:rFonts w:ascii="Arial" w:eastAsia="Times New Roman" w:hAnsi="Arial" w:cs="Arial"/>
          <w:color w:val="222222"/>
          <w:shd w:val="clear" w:color="auto" w:fill="FFFFFF"/>
        </w:rPr>
        <w:t>the egg hating rate (L1), L4 development rate, and the adulthood rate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 in the WT nematodes. 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 xml:space="preserve">Data 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were 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 xml:space="preserve">from three biological repeats </w:t>
      </w:r>
      <w:r>
        <w:rPr>
          <w:rFonts w:ascii="Arial" w:eastAsia="Times New Roman" w:hAnsi="Arial" w:cs="Arial"/>
          <w:color w:val="222222"/>
          <w:shd w:val="clear" w:color="auto" w:fill="FFFFFF"/>
        </w:rPr>
        <w:t>O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>ne-way ANOVA followed by Tukey’s multiple comparisons test was used for data analysis with ns, no significance</w:t>
      </w:r>
      <w:r>
        <w:rPr>
          <w:rFonts w:ascii="Arial" w:eastAsia="Times New Roman" w:hAnsi="Arial" w:cs="Arial"/>
          <w:color w:val="222222"/>
          <w:shd w:val="clear" w:color="auto" w:fill="FFFFFF"/>
        </w:rPr>
        <w:t>.</w:t>
      </w:r>
    </w:p>
    <w:p w:rsidR="00065169" w:rsidRPr="00DA36B4" w:rsidRDefault="00065169" w:rsidP="00065169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  <w:r w:rsidRPr="00DA36B4">
        <w:rPr>
          <w:rFonts w:ascii="Arial" w:eastAsia="Times New Roman" w:hAnsi="Arial" w:cs="Arial"/>
          <w:color w:val="222222"/>
          <w:shd w:val="clear" w:color="auto" w:fill="FFFFFF"/>
        </w:rPr>
        <w:t xml:space="preserve">b, Images showing the </w:t>
      </w:r>
      <w:bookmarkStart w:id="0" w:name="_GoBack"/>
      <w:bookmarkEnd w:id="0"/>
      <w:r w:rsidRPr="00DA36B4">
        <w:rPr>
          <w:rFonts w:ascii="Arial" w:eastAsia="Times New Roman" w:hAnsi="Arial" w:cs="Arial"/>
          <w:color w:val="222222"/>
          <w:shd w:val="clear" w:color="auto" w:fill="FFFFFF"/>
        </w:rPr>
        <w:t xml:space="preserve">stage of RA-BDNF-induced cell differentiation in SH-SY5Y cells. Day1 (left), Day5 (RA only, middle), and Day8 (RA/BDNF, right). Scale bar, 20 </w:t>
      </w:r>
      <w:r w:rsidRPr="00DA36B4">
        <w:rPr>
          <w:rFonts w:ascii="Cambria Math" w:eastAsia="Times New Roman" w:hAnsi="Cambria Math" w:cs="Cambria Math"/>
          <w:color w:val="222222"/>
          <w:shd w:val="clear" w:color="auto" w:fill="FFFFFF"/>
        </w:rPr>
        <w:t>𝝁</w:t>
      </w:r>
      <w:r w:rsidRPr="00DA36B4">
        <w:rPr>
          <w:rFonts w:ascii="Arial" w:eastAsia="Times New Roman" w:hAnsi="Arial" w:cs="Arial"/>
          <w:color w:val="222222"/>
          <w:shd w:val="clear" w:color="auto" w:fill="FFFFFF"/>
        </w:rPr>
        <w:t>m.</w:t>
      </w:r>
    </w:p>
    <w:p w:rsidR="00065169" w:rsidRPr="00DA36B4" w:rsidRDefault="00065169" w:rsidP="00065169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  <w:r w:rsidRPr="00DA36B4">
        <w:rPr>
          <w:rFonts w:ascii="Arial" w:eastAsia="Times New Roman" w:hAnsi="Arial" w:cs="Arial"/>
          <w:color w:val="222222"/>
          <w:shd w:val="clear" w:color="auto" w:fill="FFFFFF"/>
        </w:rPr>
        <w:t>c, Expression level of GAP43 (a neuronal marker) in different stage of SH-SY5Y-differentiated neuronal-like cells.</w:t>
      </w:r>
    </w:p>
    <w:p w:rsidR="00065169" w:rsidRPr="00DA36B4" w:rsidRDefault="00065169" w:rsidP="00065169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  <w:r w:rsidRPr="00DA36B4">
        <w:rPr>
          <w:rFonts w:ascii="Arial" w:eastAsia="Times New Roman" w:hAnsi="Arial" w:cs="Arial"/>
          <w:color w:val="222222"/>
          <w:shd w:val="clear" w:color="auto" w:fill="FFFFFF"/>
        </w:rPr>
        <w:t>d, Quantifications of the expression level of GAP43 as compared to GAPDH. Data were from one biological repeats.</w:t>
      </w:r>
    </w:p>
    <w:p w:rsidR="00065169" w:rsidRPr="007D38E1" w:rsidRDefault="00065169" w:rsidP="00065169">
      <w:pPr>
        <w:jc w:val="both"/>
        <w:rPr>
          <w:rFonts w:ascii="Arial" w:eastAsia="Times New Roman" w:hAnsi="Arial" w:cs="Arial"/>
          <w:color w:val="222222"/>
          <w:shd w:val="clear" w:color="auto" w:fill="FFFFFF"/>
        </w:rPr>
      </w:pPr>
      <w:r w:rsidRPr="007A7E9B">
        <w:rPr>
          <w:rFonts w:ascii="Arial" w:eastAsia="Times New Roman" w:hAnsi="Arial" w:cs="Arial"/>
          <w:color w:val="222222"/>
          <w:shd w:val="clear" w:color="auto" w:fill="FFFFFF"/>
        </w:rPr>
        <w:t>e, Toxicity of Aβ</w:t>
      </w:r>
      <w:r w:rsidRPr="007A7E9B">
        <w:rPr>
          <w:rFonts w:ascii="Arial" w:eastAsia="Times New Roman" w:hAnsi="Arial" w:cs="Arial"/>
          <w:color w:val="222222"/>
          <w:shd w:val="clear" w:color="auto" w:fill="FFFFFF"/>
          <w:vertAlign w:val="subscript"/>
        </w:rPr>
        <w:t>25-35</w:t>
      </w:r>
      <w:r w:rsidRPr="007A7E9B">
        <w:rPr>
          <w:rFonts w:ascii="Arial" w:eastAsia="Times New Roman" w:hAnsi="Arial" w:cs="Arial"/>
          <w:color w:val="222222"/>
          <w:shd w:val="clear" w:color="auto" w:fill="FFFFFF"/>
        </w:rPr>
        <w:t xml:space="preserve"> (12.5 to 50 </w:t>
      </w:r>
      <w:r w:rsidRPr="007A7E9B">
        <w:rPr>
          <w:rFonts w:ascii="Cambria Math" w:eastAsia="Times New Roman" w:hAnsi="Cambria Math" w:cs="Cambria Math"/>
          <w:color w:val="222222"/>
          <w:shd w:val="clear" w:color="auto" w:fill="FFFFFF"/>
        </w:rPr>
        <w:t>𝝁</w:t>
      </w:r>
      <w:r w:rsidRPr="007A7E9B">
        <w:rPr>
          <w:rFonts w:ascii="Arial" w:eastAsia="Times New Roman" w:hAnsi="Arial" w:cs="Arial"/>
          <w:color w:val="222222"/>
          <w:shd w:val="clear" w:color="auto" w:fill="FFFFFF"/>
        </w:rPr>
        <w:t>M, 6 to 24h)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 i</w:t>
      </w:r>
      <w:r w:rsidRPr="007A7E9B">
        <w:rPr>
          <w:rFonts w:ascii="Arial" w:eastAsia="Times New Roman" w:hAnsi="Arial" w:cs="Arial"/>
          <w:color w:val="222222"/>
          <w:shd w:val="clear" w:color="auto" w:fill="FFFFFF"/>
        </w:rPr>
        <w:t>n SH-SY5Y-differentiated neuronal-like cells</w:t>
      </w:r>
      <w:r>
        <w:rPr>
          <w:rFonts w:ascii="Arial" w:eastAsia="Times New Roman" w:hAnsi="Arial" w:cs="Arial"/>
          <w:color w:val="222222"/>
          <w:shd w:val="clear" w:color="auto" w:fill="FFFFFF"/>
        </w:rPr>
        <w:t>. Da</w:t>
      </w:r>
      <w:r w:rsidRPr="007A7E9B">
        <w:rPr>
          <w:rFonts w:ascii="Arial" w:eastAsia="Times New Roman" w:hAnsi="Arial" w:cs="Arial"/>
          <w:color w:val="222222"/>
          <w:shd w:val="clear" w:color="auto" w:fill="FFFFFF"/>
        </w:rPr>
        <w:t>ta were from two biological repeats</w:t>
      </w:r>
      <w:r>
        <w:rPr>
          <w:rFonts w:ascii="Arial" w:eastAsia="Times New Roman" w:hAnsi="Arial" w:cs="Arial"/>
          <w:color w:val="222222"/>
          <w:shd w:val="clear" w:color="auto" w:fill="FFFFFF"/>
        </w:rPr>
        <w:t>, and</w:t>
      </w:r>
      <w:r w:rsidRPr="007A7E9B">
        <w:rPr>
          <w:rFonts w:ascii="Arial" w:eastAsia="Times New Roman" w:hAnsi="Arial" w:cs="Arial"/>
          <w:color w:val="222222"/>
          <w:shd w:val="clear" w:color="auto" w:fill="FFFFFF"/>
        </w:rPr>
        <w:t xml:space="preserve"> the results shown in mean ± S.E.M. three-way ANOVA followed by Tukey’s multiple comparisons test was used for data analysis</w:t>
      </w:r>
      <w:r>
        <w:rPr>
          <w:rFonts w:ascii="Arial" w:eastAsia="Times New Roman" w:hAnsi="Arial" w:cs="Arial"/>
          <w:color w:val="222222"/>
          <w:shd w:val="clear" w:color="auto" w:fill="FFFFFF"/>
        </w:rPr>
        <w:t xml:space="preserve"> 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>with ns, no significance</w:t>
      </w:r>
      <w:r>
        <w:rPr>
          <w:rFonts w:ascii="Arial" w:eastAsia="Times New Roman" w:hAnsi="Arial" w:cs="Arial"/>
          <w:color w:val="222222"/>
          <w:shd w:val="clear" w:color="auto" w:fill="FFFFFF"/>
        </w:rPr>
        <w:t>,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 xml:space="preserve"> *</w:t>
      </w:r>
      <w:r w:rsidRPr="007D38E1">
        <w:rPr>
          <w:rFonts w:ascii="Arial" w:eastAsia="Times New Roman" w:hAnsi="Arial" w:cs="Arial"/>
          <w:i/>
          <w:iCs/>
          <w:color w:val="222222"/>
          <w:shd w:val="clear" w:color="auto" w:fill="FFFFFF"/>
        </w:rPr>
        <w:t>p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>&lt; 0.05, **</w:t>
      </w:r>
      <w:r w:rsidRPr="007D38E1">
        <w:rPr>
          <w:rFonts w:ascii="Arial" w:eastAsia="Times New Roman" w:hAnsi="Arial" w:cs="Arial"/>
          <w:i/>
          <w:iCs/>
          <w:color w:val="222222"/>
          <w:shd w:val="clear" w:color="auto" w:fill="FFFFFF"/>
        </w:rPr>
        <w:t>p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>&lt; 0.01, ***</w:t>
      </w:r>
      <w:r w:rsidRPr="007D38E1">
        <w:rPr>
          <w:rFonts w:ascii="Arial" w:eastAsia="Times New Roman" w:hAnsi="Arial" w:cs="Arial"/>
          <w:i/>
          <w:iCs/>
          <w:color w:val="222222"/>
          <w:shd w:val="clear" w:color="auto" w:fill="FFFFFF"/>
        </w:rPr>
        <w:t>p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>&lt; 0.001, ****</w:t>
      </w:r>
      <w:r w:rsidRPr="007D38E1">
        <w:rPr>
          <w:rFonts w:ascii="Arial" w:eastAsia="Times New Roman" w:hAnsi="Arial" w:cs="Arial"/>
          <w:i/>
          <w:iCs/>
          <w:color w:val="222222"/>
          <w:shd w:val="clear" w:color="auto" w:fill="FFFFFF"/>
        </w:rPr>
        <w:t>p</w:t>
      </w:r>
      <w:r w:rsidRPr="007D38E1">
        <w:rPr>
          <w:rFonts w:ascii="Arial" w:eastAsia="Times New Roman" w:hAnsi="Arial" w:cs="Arial"/>
          <w:color w:val="222222"/>
          <w:shd w:val="clear" w:color="auto" w:fill="FFFFFF"/>
        </w:rPr>
        <w:t xml:space="preserve">&lt; 0.0001. </w:t>
      </w:r>
    </w:p>
    <w:p w:rsidR="00065169" w:rsidRPr="00A977A4" w:rsidRDefault="00065169" w:rsidP="00065169">
      <w:pPr>
        <w:jc w:val="both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:rsidR="00065169" w:rsidRPr="00A977A4" w:rsidRDefault="00065169" w:rsidP="00065169">
      <w:pPr>
        <w:jc w:val="both"/>
        <w:rPr>
          <w:rFonts w:ascii="Arial" w:eastAsia="Times New Roman" w:hAnsi="Arial" w:cs="Arial"/>
          <w:b/>
          <w:color w:val="222222"/>
          <w:shd w:val="clear" w:color="auto" w:fill="FFFFFF"/>
        </w:rPr>
      </w:pP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Su</w:t>
      </w:r>
      <w:r>
        <w:rPr>
          <w:rFonts w:ascii="Arial" w:eastAsia="Times New Roman" w:hAnsi="Arial" w:cs="Arial"/>
          <w:b/>
          <w:color w:val="222222"/>
          <w:shd w:val="clear" w:color="auto" w:fill="FFFFFF"/>
        </w:rPr>
        <w:t>pp</w:t>
      </w: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. Figure 2 Original western blot gels. These blots are related to western blot data shown in Fig. 5</w:t>
      </w:r>
    </w:p>
    <w:p w:rsidR="00065169" w:rsidRPr="00A977A4" w:rsidRDefault="00065169" w:rsidP="00065169">
      <w:pPr>
        <w:jc w:val="both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:rsidR="00065169" w:rsidRDefault="00065169" w:rsidP="00065169">
      <w:pPr>
        <w:jc w:val="both"/>
        <w:rPr>
          <w:b/>
        </w:rPr>
      </w:pP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Su</w:t>
      </w:r>
      <w:r>
        <w:rPr>
          <w:rFonts w:ascii="Arial" w:eastAsia="Times New Roman" w:hAnsi="Arial" w:cs="Arial"/>
          <w:b/>
          <w:color w:val="222222"/>
          <w:shd w:val="clear" w:color="auto" w:fill="FFFFFF"/>
        </w:rPr>
        <w:t>pp</w:t>
      </w: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 xml:space="preserve">. Table 1. Average lifespan of nematodes of different groups.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17"/>
        <w:gridCol w:w="2191"/>
        <w:gridCol w:w="2203"/>
        <w:gridCol w:w="1559"/>
        <w:gridCol w:w="1644"/>
      </w:tblGrid>
      <w:tr w:rsidR="00065169" w:rsidRPr="00A977A4" w:rsidTr="000D02B0">
        <w:trPr>
          <w:jc w:val="center"/>
        </w:trPr>
        <w:tc>
          <w:tcPr>
            <w:tcW w:w="141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Experiments</w:t>
            </w:r>
          </w:p>
        </w:tc>
        <w:tc>
          <w:tcPr>
            <w:tcW w:w="2191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Groups</w:t>
            </w:r>
          </w:p>
        </w:tc>
        <w:tc>
          <w:tcPr>
            <w:tcW w:w="220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Median lifespan</w:t>
            </w: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(Days)</w:t>
            </w:r>
          </w:p>
        </w:tc>
        <w:tc>
          <w:tcPr>
            <w:tcW w:w="1559" w:type="dxa"/>
          </w:tcPr>
          <w:p w:rsidR="00065169" w:rsidRPr="00A977A4" w:rsidRDefault="00065169" w:rsidP="000D02B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Mean ± S.E.M</w:t>
            </w: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(Days)</w:t>
            </w:r>
          </w:p>
        </w:tc>
        <w:tc>
          <w:tcPr>
            <w:tcW w:w="1644" w:type="dxa"/>
          </w:tcPr>
          <w:p w:rsidR="00065169" w:rsidRPr="00A977A4" w:rsidRDefault="00065169" w:rsidP="000D02B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Statistics</w:t>
            </w: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A977A4">
              <w:rPr>
                <w:rFonts w:ascii="Arial" w:hAnsi="Arial" w:cs="Arial"/>
                <w:b/>
                <w:i/>
                <w:sz w:val="20"/>
                <w:szCs w:val="20"/>
              </w:rPr>
              <w:t>p</w:t>
            </w:r>
            <w:r w:rsidRPr="00A977A4">
              <w:rPr>
                <w:rFonts w:ascii="Arial" w:hAnsi="Arial" w:cs="Arial"/>
                <w:b/>
                <w:sz w:val="20"/>
                <w:szCs w:val="20"/>
              </w:rPr>
              <w:t xml:space="preserve"> values)</w:t>
            </w:r>
          </w:p>
        </w:tc>
      </w:tr>
      <w:tr w:rsidR="00065169" w:rsidRPr="00A977A4" w:rsidTr="000D02B0">
        <w:trPr>
          <w:jc w:val="center"/>
        </w:trPr>
        <w:tc>
          <w:tcPr>
            <w:tcW w:w="1413" w:type="dxa"/>
            <w:vMerge w:val="restart"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Lifespan</w:t>
            </w:r>
          </w:p>
        </w:tc>
        <w:tc>
          <w:tcPr>
            <w:tcW w:w="2191" w:type="dxa"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N2 (Veh.)</w:t>
            </w:r>
          </w:p>
        </w:tc>
        <w:tc>
          <w:tcPr>
            <w:tcW w:w="220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>16</w:t>
            </w:r>
          </w:p>
        </w:tc>
        <w:tc>
          <w:tcPr>
            <w:tcW w:w="155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15.27 </w:t>
            </w:r>
            <w:r w:rsidRPr="00A977A4">
              <w:rPr>
                <w:rFonts w:ascii="Arial" w:hAnsi="Arial" w:cs="Arial"/>
                <w:sz w:val="20"/>
                <w:szCs w:val="20"/>
              </w:rPr>
              <w:t>±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0.46</w:t>
            </w:r>
          </w:p>
        </w:tc>
        <w:tc>
          <w:tcPr>
            <w:tcW w:w="1644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= 0.188</w:t>
            </w:r>
          </w:p>
        </w:tc>
      </w:tr>
      <w:tr w:rsidR="00065169" w:rsidRPr="00A977A4" w:rsidTr="000D02B0">
        <w:trPr>
          <w:jc w:val="center"/>
        </w:trPr>
        <w:tc>
          <w:tcPr>
            <w:tcW w:w="1413" w:type="dxa"/>
            <w:vMerge/>
          </w:tcPr>
          <w:p w:rsidR="00065169" w:rsidRPr="00A977A4" w:rsidRDefault="00065169" w:rsidP="000D02B0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191" w:type="dxa"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N2 (</w:t>
            </w:r>
            <w:r>
              <w:rPr>
                <w:rFonts w:ascii="Arial" w:hAnsi="Arial" w:cs="Arial"/>
                <w:sz w:val="20"/>
                <w:szCs w:val="20"/>
              </w:rPr>
              <w:t>PEP</w:t>
            </w:r>
            <w:r w:rsidRPr="00A977A4">
              <w:rPr>
                <w:rFonts w:ascii="Arial" w:hAnsi="Arial" w:cs="Arial"/>
                <w:sz w:val="20"/>
                <w:szCs w:val="20"/>
              </w:rPr>
              <w:t xml:space="preserve"> 250 </w:t>
            </w:r>
            <w:r w:rsidRPr="00A977A4">
              <w:rPr>
                <w:rFonts w:ascii="Cambria Math" w:hAnsi="Cambria Math" w:cs="Cambria Math"/>
                <w:sz w:val="20"/>
                <w:szCs w:val="20"/>
              </w:rPr>
              <w:t>𝝁</w:t>
            </w:r>
            <w:r w:rsidRPr="00A977A4">
              <w:rPr>
                <w:rFonts w:ascii="Arial" w:hAnsi="Arial" w:cs="Arial"/>
                <w:sz w:val="20"/>
                <w:szCs w:val="20"/>
              </w:rPr>
              <w:t>g/mL)</w:t>
            </w:r>
          </w:p>
        </w:tc>
        <w:tc>
          <w:tcPr>
            <w:tcW w:w="220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>17</w:t>
            </w:r>
          </w:p>
        </w:tc>
        <w:tc>
          <w:tcPr>
            <w:tcW w:w="155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15.92 </w:t>
            </w:r>
            <w:r w:rsidRPr="00A977A4">
              <w:rPr>
                <w:rFonts w:ascii="Arial" w:hAnsi="Arial" w:cs="Arial"/>
                <w:sz w:val="20"/>
                <w:szCs w:val="20"/>
              </w:rPr>
              <w:t>±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0.49</w:t>
            </w:r>
          </w:p>
        </w:tc>
        <w:tc>
          <w:tcPr>
            <w:tcW w:w="1644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  <w:tr w:rsidR="00065169" w:rsidRPr="00A977A4" w:rsidTr="000D02B0">
        <w:trPr>
          <w:jc w:val="center"/>
        </w:trPr>
        <w:tc>
          <w:tcPr>
            <w:tcW w:w="1413" w:type="dxa"/>
            <w:vMerge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191" w:type="dxa"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CK12 (Veh.)</w:t>
            </w:r>
          </w:p>
        </w:tc>
        <w:tc>
          <w:tcPr>
            <w:tcW w:w="220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>13</w:t>
            </w:r>
          </w:p>
        </w:tc>
        <w:tc>
          <w:tcPr>
            <w:tcW w:w="155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12.87 </w:t>
            </w:r>
            <w:r w:rsidRPr="00A977A4">
              <w:rPr>
                <w:rFonts w:ascii="Arial" w:hAnsi="Arial" w:cs="Arial"/>
                <w:sz w:val="20"/>
                <w:szCs w:val="20"/>
              </w:rPr>
              <w:t>±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0.55</w:t>
            </w:r>
          </w:p>
        </w:tc>
        <w:tc>
          <w:tcPr>
            <w:tcW w:w="1644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= 0.145</w:t>
            </w:r>
          </w:p>
        </w:tc>
      </w:tr>
      <w:tr w:rsidR="00065169" w:rsidRPr="00A977A4" w:rsidTr="000D02B0">
        <w:trPr>
          <w:jc w:val="center"/>
        </w:trPr>
        <w:tc>
          <w:tcPr>
            <w:tcW w:w="1413" w:type="dxa"/>
            <w:vMerge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191" w:type="dxa"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CK12 (</w:t>
            </w:r>
            <w:r>
              <w:rPr>
                <w:rFonts w:ascii="Arial" w:hAnsi="Arial" w:cs="Arial"/>
                <w:sz w:val="20"/>
                <w:szCs w:val="20"/>
              </w:rPr>
              <w:t>PEP</w:t>
            </w:r>
            <w:r w:rsidRPr="00A977A4">
              <w:rPr>
                <w:rFonts w:ascii="Arial" w:hAnsi="Arial" w:cs="Arial"/>
                <w:sz w:val="20"/>
                <w:szCs w:val="20"/>
              </w:rPr>
              <w:t xml:space="preserve"> 250 </w:t>
            </w:r>
            <w:r w:rsidRPr="00A977A4">
              <w:rPr>
                <w:rFonts w:ascii="Cambria Math" w:hAnsi="Cambria Math" w:cs="Cambria Math"/>
                <w:sz w:val="20"/>
                <w:szCs w:val="20"/>
              </w:rPr>
              <w:t>𝝁</w:t>
            </w:r>
            <w:r w:rsidRPr="00A977A4">
              <w:rPr>
                <w:rFonts w:ascii="Arial" w:hAnsi="Arial" w:cs="Arial"/>
                <w:sz w:val="20"/>
                <w:szCs w:val="20"/>
              </w:rPr>
              <w:t>g/mL)</w:t>
            </w:r>
          </w:p>
        </w:tc>
        <w:tc>
          <w:tcPr>
            <w:tcW w:w="220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>13</w:t>
            </w:r>
          </w:p>
        </w:tc>
        <w:tc>
          <w:tcPr>
            <w:tcW w:w="155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15.58 </w:t>
            </w:r>
            <w:r w:rsidRPr="00A977A4">
              <w:rPr>
                <w:rFonts w:ascii="Arial" w:hAnsi="Arial" w:cs="Arial"/>
                <w:sz w:val="20"/>
                <w:szCs w:val="20"/>
              </w:rPr>
              <w:t>±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0.49</w:t>
            </w:r>
          </w:p>
        </w:tc>
        <w:tc>
          <w:tcPr>
            <w:tcW w:w="1644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  <w:tr w:rsidR="00065169" w:rsidRPr="00A977A4" w:rsidTr="000D02B0">
        <w:trPr>
          <w:jc w:val="center"/>
        </w:trPr>
        <w:tc>
          <w:tcPr>
            <w:tcW w:w="1413" w:type="dxa"/>
            <w:vMerge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191" w:type="dxa"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JKM2 (Veh.)</w:t>
            </w:r>
          </w:p>
        </w:tc>
        <w:tc>
          <w:tcPr>
            <w:tcW w:w="220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>14</w:t>
            </w:r>
          </w:p>
        </w:tc>
        <w:tc>
          <w:tcPr>
            <w:tcW w:w="155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11.60 </w:t>
            </w:r>
            <w:r w:rsidRPr="00A977A4">
              <w:rPr>
                <w:rFonts w:ascii="Arial" w:hAnsi="Arial" w:cs="Arial"/>
                <w:sz w:val="20"/>
                <w:szCs w:val="20"/>
              </w:rPr>
              <w:t>±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0.57</w:t>
            </w:r>
          </w:p>
        </w:tc>
        <w:tc>
          <w:tcPr>
            <w:tcW w:w="1644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= 0.0002</w:t>
            </w:r>
          </w:p>
        </w:tc>
      </w:tr>
      <w:tr w:rsidR="00065169" w:rsidRPr="00A977A4" w:rsidTr="000D02B0">
        <w:trPr>
          <w:jc w:val="center"/>
        </w:trPr>
        <w:tc>
          <w:tcPr>
            <w:tcW w:w="1413" w:type="dxa"/>
            <w:vMerge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191" w:type="dxa"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JKM2 (</w:t>
            </w:r>
            <w:r>
              <w:rPr>
                <w:rFonts w:ascii="Arial" w:hAnsi="Arial" w:cs="Arial"/>
                <w:sz w:val="20"/>
                <w:szCs w:val="20"/>
              </w:rPr>
              <w:t>PEP</w:t>
            </w:r>
            <w:r w:rsidRPr="00A977A4">
              <w:rPr>
                <w:rFonts w:ascii="Arial" w:hAnsi="Arial" w:cs="Arial"/>
                <w:sz w:val="20"/>
                <w:szCs w:val="20"/>
              </w:rPr>
              <w:t xml:space="preserve"> 250 </w:t>
            </w:r>
            <w:r w:rsidRPr="00A977A4">
              <w:rPr>
                <w:rFonts w:ascii="Cambria Math" w:hAnsi="Cambria Math" w:cs="Cambria Math"/>
                <w:sz w:val="20"/>
                <w:szCs w:val="20"/>
              </w:rPr>
              <w:t>𝝁</w:t>
            </w:r>
            <w:r w:rsidRPr="00A977A4">
              <w:rPr>
                <w:rFonts w:ascii="Arial" w:hAnsi="Arial" w:cs="Arial"/>
                <w:sz w:val="20"/>
                <w:szCs w:val="20"/>
              </w:rPr>
              <w:t>g/mL)</w:t>
            </w:r>
          </w:p>
        </w:tc>
        <w:tc>
          <w:tcPr>
            <w:tcW w:w="220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>15</w:t>
            </w:r>
          </w:p>
        </w:tc>
        <w:tc>
          <w:tcPr>
            <w:tcW w:w="155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12.53 </w:t>
            </w:r>
            <w:r w:rsidRPr="00A977A4">
              <w:rPr>
                <w:rFonts w:ascii="Arial" w:hAnsi="Arial" w:cs="Arial"/>
                <w:sz w:val="20"/>
                <w:szCs w:val="20"/>
              </w:rPr>
              <w:t>±</w:t>
            </w:r>
            <w:r w:rsidRPr="00A977A4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0.55</w:t>
            </w:r>
          </w:p>
        </w:tc>
        <w:tc>
          <w:tcPr>
            <w:tcW w:w="1644" w:type="dxa"/>
            <w:vMerge/>
          </w:tcPr>
          <w:p w:rsidR="00065169" w:rsidRPr="00A977A4" w:rsidRDefault="00065169" w:rsidP="000D02B0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</w:tbl>
    <w:p w:rsidR="00065169" w:rsidRDefault="00065169" w:rsidP="00065169">
      <w:pPr>
        <w:jc w:val="both"/>
        <w:rPr>
          <w:rFonts w:eastAsia="Times New Roman" w:cstheme="minorHAnsi"/>
          <w:b/>
          <w:color w:val="222222"/>
          <w:shd w:val="clear" w:color="auto" w:fill="FFFFFF"/>
        </w:rPr>
      </w:pPr>
    </w:p>
    <w:p w:rsidR="00065169" w:rsidRDefault="00065169" w:rsidP="00065169">
      <w:pPr>
        <w:jc w:val="both"/>
        <w:rPr>
          <w:rFonts w:eastAsia="Times New Roman" w:cstheme="minorHAnsi"/>
          <w:b/>
          <w:color w:val="222222"/>
          <w:shd w:val="clear" w:color="auto" w:fill="FFFFFF"/>
        </w:rPr>
      </w:pPr>
    </w:p>
    <w:p w:rsidR="00065169" w:rsidRPr="00A977A4" w:rsidRDefault="00065169" w:rsidP="00065169">
      <w:pPr>
        <w:jc w:val="both"/>
        <w:rPr>
          <w:rFonts w:ascii="Arial" w:hAnsi="Arial" w:cs="Arial"/>
          <w:b/>
        </w:rPr>
      </w:pP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Su</w:t>
      </w:r>
      <w:r>
        <w:rPr>
          <w:rFonts w:ascii="Arial" w:eastAsia="Times New Roman" w:hAnsi="Arial" w:cs="Arial"/>
          <w:b/>
          <w:color w:val="222222"/>
          <w:shd w:val="clear" w:color="auto" w:fill="FFFFFF"/>
        </w:rPr>
        <w:t>pp</w:t>
      </w: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. Table 2.</w:t>
      </w:r>
      <w:r w:rsidRPr="00A977A4">
        <w:rPr>
          <w:rFonts w:ascii="Arial" w:hAnsi="Arial" w:cs="Arial"/>
          <w:b/>
        </w:rPr>
        <w:t xml:space="preserve"> List of compounds identified via GC-MC from different fractions of </w:t>
      </w:r>
      <w:r w:rsidRPr="00A977A4">
        <w:rPr>
          <w:rFonts w:ascii="Arial" w:hAnsi="Arial" w:cs="Arial"/>
          <w:b/>
          <w:i/>
        </w:rPr>
        <w:t xml:space="preserve">P. </w:t>
      </w:r>
      <w:proofErr w:type="spellStart"/>
      <w:r w:rsidRPr="00A977A4">
        <w:rPr>
          <w:rFonts w:ascii="Arial" w:hAnsi="Arial" w:cs="Arial"/>
          <w:b/>
          <w:i/>
        </w:rPr>
        <w:t>edulis</w:t>
      </w:r>
      <w:proofErr w:type="spellEnd"/>
      <w:r w:rsidRPr="00A977A4">
        <w:rPr>
          <w:rFonts w:ascii="Arial" w:hAnsi="Arial" w:cs="Arial"/>
          <w:b/>
        </w:rPr>
        <w:t xml:space="preserve"> pericarp extracts. </w:t>
      </w:r>
      <w:proofErr w:type="spellStart"/>
      <w:r w:rsidRPr="00A977A4">
        <w:rPr>
          <w:rFonts w:ascii="Arial" w:hAnsi="Arial" w:cs="Arial"/>
          <w:b/>
        </w:rPr>
        <w:t>SwissADME</w:t>
      </w:r>
      <w:proofErr w:type="spellEnd"/>
      <w:r w:rsidRPr="00A977A4">
        <w:rPr>
          <w:rFonts w:ascii="Arial" w:hAnsi="Arial" w:cs="Arial"/>
          <w:b/>
        </w:rPr>
        <w:t xml:space="preserve"> was used for </w:t>
      </w:r>
      <w:r w:rsidRPr="00A977A4">
        <w:rPr>
          <w:rFonts w:ascii="Arial" w:hAnsi="Arial" w:cs="Arial"/>
          <w:b/>
          <w:i/>
        </w:rPr>
        <w:t xml:space="preserve">in </w:t>
      </w:r>
      <w:proofErr w:type="spellStart"/>
      <w:r w:rsidRPr="00A977A4">
        <w:rPr>
          <w:rFonts w:ascii="Arial" w:hAnsi="Arial" w:cs="Arial"/>
          <w:b/>
          <w:i/>
        </w:rPr>
        <w:t>silico</w:t>
      </w:r>
      <w:proofErr w:type="spellEnd"/>
      <w:r w:rsidRPr="00A977A4">
        <w:rPr>
          <w:rFonts w:ascii="Arial" w:hAnsi="Arial" w:cs="Arial"/>
          <w:b/>
        </w:rPr>
        <w:t xml:space="preserve"> prediction of BBB permeability.  </w:t>
      </w:r>
    </w:p>
    <w:tbl>
      <w:tblPr>
        <w:tblStyle w:val="TableGrid"/>
        <w:tblpPr w:leftFromText="141" w:rightFromText="141" w:vertAnchor="text" w:horzAnchor="margin" w:tblpY="314"/>
        <w:tblW w:w="0" w:type="auto"/>
        <w:tblLook w:val="04A0" w:firstRow="1" w:lastRow="0" w:firstColumn="1" w:lastColumn="0" w:noHBand="0" w:noVBand="1"/>
      </w:tblPr>
      <w:tblGrid>
        <w:gridCol w:w="1343"/>
        <w:gridCol w:w="539"/>
        <w:gridCol w:w="3090"/>
        <w:gridCol w:w="1400"/>
        <w:gridCol w:w="1473"/>
        <w:gridCol w:w="1360"/>
      </w:tblGrid>
      <w:tr w:rsidR="00065169" w:rsidRPr="00A977A4" w:rsidTr="000D02B0">
        <w:tc>
          <w:tcPr>
            <w:tcW w:w="1343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Sub-fractions</w:t>
            </w: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Name of the compound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BBB permeant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Chemical structure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Retention time (min)</w:t>
            </w:r>
          </w:p>
        </w:tc>
      </w:tr>
      <w:tr w:rsidR="00065169" w:rsidRPr="00A977A4" w:rsidTr="000D02B0">
        <w:tc>
          <w:tcPr>
            <w:tcW w:w="1343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S.1</w:t>
            </w: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3.805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 xml:space="preserve">Yes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3.879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3.959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 xml:space="preserve">Yes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4.045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Heptanal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C7H14O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6.315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Hydroperoxide, 1-ethylbutyl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C6h14O2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7.522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Hexane, 3-bromo-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C6H13Br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7.785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2,4-Heptadienal, (E,E)-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C7h10O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8.932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Nonanal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C9H18O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12.088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Benzene, 1,4-dimethyl-2,5-bio(1-methylethyl)-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C14H22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16.401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2,4-Decadienal, (E,E)-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C10H16O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17.458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2,4-Decadienal, (E,E)-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C10H16O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18.068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Hexanoic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acide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, 2-hexenyl ester, (E)-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C12H22O2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20.338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5,9-Undecadien-2-one, 6,10-dimethyl-, (Z)-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C13H22O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21.604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Phenol, 2,4-bio(1,1-dimethylethyl)-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C14H22O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23.054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Bezonic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acide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, 4-ethoxy-, 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C11H14O3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23.388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Benzaldehyde, 3,4-dimethoxy-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C9H10O3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25.197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Diphenylamine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C12H11N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25.607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Benzophenone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C13H10O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25.804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Octanal, 2-(phenylmethylene)-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C15H20O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28.424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1,4-Naphthalenedione, 2,3,6-trimethyl-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C13H12O2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28.721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Benzyl Benzoate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C14H12O2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28.807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Salicylic acid, butyl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C15H22O3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29.657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Isopropyl myristate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C17H34O2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30.017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trans-Geranylgeraniol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C20H34O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30.300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2-Pentadecanone, 6,10,14-trimethyl-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C18H36O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30.414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1,2-Benzenedicarboxylic acid, butyl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octyl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C20H30O4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30.907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2-Heptadecanone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C17H34O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31.547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5,9,13-Pentadecatrien-2-one, 6,10,14-trimethyl- (E,E)-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31.904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Hexadecanoic acid, methyl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C17H34O2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30.020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Oxacycloheptadecan-2-one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C16H30O2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32.247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5,8,11,14,17-Eicosapentaenoic acid, methyl ester, (all-Z)-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C21H32O2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32.447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Dibutyl phthalate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C16H22O4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32.760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Hexadecanoic acid, 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C18H36O2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33.340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1,4-Benzenedicarboxylic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(2-methylpropyl)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C16H22O4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34.820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9,11-Octadecadienoic acid, methyl ester, (E,E)-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C19H34O2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35.210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9-Octadecenoic acid (Z)-, methyl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C19H36O2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35.324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Ethyl 5,8,11,14,17-icosapentaenoate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C22H34O2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36.130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9,12,15-Octadecatrienoic acid, (Z,Z,Z,)-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36.230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Linoleic acid 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C20H36O2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36.417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9,12,15-Octadecatrienoic acid, ethyl ester, (Z,Z,Z,)-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C20H34O2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36.534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Octadecanoic acide, 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C20H40O2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36.981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Hexanedioic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(2-ethylhexyl)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C22H42O4)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40.417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Di-n-octyl phthalate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C24H38O4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42.761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4-octyl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C25H46O4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44.091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4-octyl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C25H46O4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44.391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4-octyl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C25H46O4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44.444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4-octyl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C25H46O4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44.568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45.081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45.188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45.425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45.521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45.748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45.855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46.081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46.198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46.418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46.471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46.595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Squalene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C30H50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46.865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1,2-Cyclohexanediacarboxylic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dinonyl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C26H48O4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47.198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-gamma-Tocopherol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C28H48O2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49.799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Vitamin 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51.639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-beta-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Amyrin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C30H50O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59.424</w:t>
            </w:r>
          </w:p>
        </w:tc>
      </w:tr>
      <w:tr w:rsidR="00065169" w:rsidRPr="00A977A4" w:rsidTr="000D02B0">
        <w:tc>
          <w:tcPr>
            <w:tcW w:w="9010" w:type="dxa"/>
            <w:gridSpan w:val="6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169" w:rsidRPr="00A977A4" w:rsidTr="000D02B0">
        <w:tc>
          <w:tcPr>
            <w:tcW w:w="1343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S.2</w:t>
            </w: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2-Hepten-3-ol, 4,5-dimethyl-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C9H18O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3.575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3.799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2-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Hexanone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3.872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3.955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4.035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2-Heptanone, 3-methyl-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C8H16O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6.922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Hexane, 3-bromo-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C6H13Br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7.528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Hexane, 3-bromo-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C6H13Br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7.802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1,5-Heptadien-4-one, 3,3,6-trimethyl-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8.108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Hexane,1,1’-oxybis-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C12H26O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9.122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2-Undecenal, E-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C11H20O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9.865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L-.alpha.-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Terpineol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14.611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Benzothiazole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C7H5NS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15.538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Benzene, 1,4-dimethyl-2,5-bis(1-methylethyl)-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16.408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2,4-Decadienal, (E,E)-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18.068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1,4-Napthalenedione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20.518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cis-9-Hexadecenoic acid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C16H30O2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22.101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3,5-bis(1,1-dimethylethyl)-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23.054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Benzoic acid, 4-ethoxy-, ethyl ester 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C11H14O3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23.391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1,6,10-Dodecatrien-3-ol, 3,7,11-trimethyl-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C15H26O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24.301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3-Isopropyl-2-methoxy-5-methylbenzoic acid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C12H16O3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27.244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Benzestrol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C20H26O2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27.321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4-(1,1,3,3-tetramethylbutyl)-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27.497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Spiro-1-(cyclohex-2-ene)-2’-(5’-oxabicyclo[2.1.0]pentane), 1’,4’,2,6,6-pentamethyl-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27.694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2-methyl-4-(1,1,3,3-tetramethylbutyl)-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C15H24O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27.777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1-(2,6-Dimethyl-4-propoxyphenyl)propan-1-one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27.904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2-methyl-4-(1,1,3,3-tetramethylbutyl)-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C15H24O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28.307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Benzestrol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C20H26O2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28.381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4-(1,1,3,3-tetramethylbutyl)-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28.504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1-(2,6-Dimethyl-4-propoxyphenyl)propan-1-one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28.637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2-methyl-4-(1,1,3,3-tetramethylbutyl)-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C15H24O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28.687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1,2-Benzenedicarboxylic acid,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(2-methylpropyl)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C16H22O4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30.910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7,9-Di-tert-butyl-1-oxaspiro(4,5)deca-6,9-diene-2,8-dione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C17H24O3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31.944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Dibutyl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phthalate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C16H22O4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32.760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3,7,11,15-Tetramethylhexadeca- 1,6,10,14-tetraen-3-ol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34.040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5-Octadecenal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34.984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Hexanoic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acid, 2-ethyl-,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oxybis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(2,1-ethanediyloxy-2,1-ethanediyl)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C24H46O7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37.194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Ethanol, 2-butoxy-, phosphate (3:1)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C18H39O7P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40.714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Di-n-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octyl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phthalate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C24H38O4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42.757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2H-1-Benzopyran-6-ol, 3,4-dihydro-2,8-dimethyl-2-(4,8,12-trimethyltridecyl)-, [2R-[2R*(4R,8*)]]-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C27H46O2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48.411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.gamma.-Tocopherol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C28H48O2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49.838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.gamma.-Tocopherol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C28H48O2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50.048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.alpha.-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Amyrin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C30H50O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56.296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Cholest-5-en-3-one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C27H44O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56.693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Spinasterone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C29H46O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57.583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Stigmast-4-en-3-one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C29H48O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59.683</w:t>
            </w:r>
          </w:p>
        </w:tc>
      </w:tr>
      <w:tr w:rsidR="00065169" w:rsidRPr="00A977A4" w:rsidTr="000D02B0">
        <w:tc>
          <w:tcPr>
            <w:tcW w:w="9010" w:type="dxa"/>
            <w:gridSpan w:val="6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169" w:rsidRPr="00A977A4" w:rsidTr="000D02B0">
        <w:tc>
          <w:tcPr>
            <w:tcW w:w="1343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</w:rPr>
              <w:t>S.3</w:t>
            </w: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3.799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3.872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3.959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4.039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Cyclohexanol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5.872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Hydroperoxide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, 1-ethylbutyl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7.519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Hexane, 3-bromo-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C6H13Br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7.785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2,6-Octadiene, 2,4-dimethyl-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C10H18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8.108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2-Dodecenal, (E)-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9.862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2,6-Nonadienal, 3,7-dimethyl-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C11H18O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10.292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.alpha.-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Terpeineol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14.611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Benzene, 1,4-dimethyl-2,5-bis(1-methylethyl)-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16.401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3-Allyl-6-methoxyphenol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19.178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Propanoic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acid, 2-methyl, 3-hydroxy-2,4,4-trimethylpentyl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C12H24O3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19.608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2-Propenal, 3-phenyl-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C9H8O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19.778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trans-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Isoeugenol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21.534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9-Hexadecenoic acid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C16H30O2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22.094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3,5-bis(1,1-dimethylethyl)-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23.058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Benzoic acid, 4-ethoxy-, 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C11H14O3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23.388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Diethyl Phthalate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C12H14O4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25.034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2-Naphthalenemethanol, decahydro- .alpha., 4a-trimethyl-8-methylene-, [2R-(2.alpha.,4a.alpha.,8a.beta)]-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C15H26O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</w:rPr>
              <w:t>26.381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Triallyl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cyanurate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C12H15N3O3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29.281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2-Pentadecanone, 6,10,14-trimethyl-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30.410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2-Heptadecanol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ind w:left="708" w:hanging="708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C17H36O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31.630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7,9-Di-tert-butyl-1-oxaspiro(4,5)deca-6,9-diene-2,8-dione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C17H24O3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31.940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5-Octadecenal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34.984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2-Hexadecanol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C16H34O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35.457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Phytol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C20H40O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35.550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4,8,12,16-Tetramethylheptadecan-4-olide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C21H40O2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39.684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Hexanoic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acid, 2-ethyl,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oxybis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(2,1-ethanediyloxy-2,1ethanediyl)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C24H46O7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41.6 57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1-Tricosanol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C23H48O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41.844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.alpha.-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Tocopherolquinone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C29H50O3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51.652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Lanost-8-en-3-ol, (3.beta.)-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C30H52O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56.009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.beta.-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Amyrin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C30H50O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56.349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9,19-Cyclochloestene-3,7-diol, 4,14-dimethyl-, 3-acetate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C31H52O3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56.470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9,19-Cyclochloestene-3,7-diol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C31H52O2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57.556</w:t>
            </w:r>
          </w:p>
        </w:tc>
      </w:tr>
      <w:tr w:rsidR="00065169" w:rsidRPr="00A977A4" w:rsidTr="000D02B0">
        <w:tc>
          <w:tcPr>
            <w:tcW w:w="9010" w:type="dxa"/>
            <w:gridSpan w:val="6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65169" w:rsidRPr="00A977A4" w:rsidTr="000D02B0">
        <w:tc>
          <w:tcPr>
            <w:tcW w:w="1343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S.4</w:t>
            </w: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3.799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3.872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3.959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4.039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Hydroperoxide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, 1-ethylbutyl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7.519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Hexane, 3-bromo-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C6h13Br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7.785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2,6-Octadiene, 2,4-dimethyl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C10H18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8.105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2,3-Octanedione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C8H14O2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8.578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.alpha.-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Terpineol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14.611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4-(2-propenyl)-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C9H10O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16.338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Benzene, 1,4-dimethyl-2,5-bis(1-methylethyl)-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16.398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4-(2-propenyl)-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C9H10O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18.698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2-Propenal, 3-phenyl-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C9H18O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19.711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Cyclododecane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C12H24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22.098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Benzoic acid, 4-ethoxy-, 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C11H14O3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23.388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2,6,10-Dodecatrien-1-ol, 3,7,11-trimethyl-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C15H26O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27.851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2-Pentadecanone, 6,10,14-trimethyl-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30.411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1-Hexadecanol, acetate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31.090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7,9-Di-tert-butyl-1-oxaspiro(4,5)deca-6,9-diene-2,8-dione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C17H24O3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31.940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Ethanol, 2-(9-octadecenyloxy)-, (Z)-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C20H40O2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34.537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5-Octadecenal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C18H34O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34.984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Phytol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C20H40O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35.540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Hexadeca-2,6-10-14-tetraen-1-ol--, 3,7,11,16-tetramethyl-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C20H34O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36.950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4,8,12,16-Tetramethylheptadecan-4-olide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C21H40O2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39.680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Triethylene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glycol di(2-ethyhexoate)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C22H42O6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41.734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.alpha.-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Tocopherolquinone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C29H50O3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51.742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Campesterol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C28H48O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53.486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Stigmasterol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C29H48O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54.233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9,19-Cyclolanostane-3,7-diol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C30H52O2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54.936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.gamma.-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Sitosterol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55.996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Lanost-8-en-3-ol, (3.beta.)-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C30H52O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56.590</w:t>
            </w:r>
          </w:p>
        </w:tc>
      </w:tr>
      <w:tr w:rsidR="00065169" w:rsidRPr="00A977A4" w:rsidTr="000D02B0">
        <w:tc>
          <w:tcPr>
            <w:tcW w:w="9010" w:type="dxa"/>
            <w:gridSpan w:val="6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65169" w:rsidRPr="00A977A4" w:rsidTr="000D02B0">
        <w:tc>
          <w:tcPr>
            <w:tcW w:w="1343" w:type="dxa"/>
            <w:vMerge w:val="restart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sz w:val="20"/>
                <w:szCs w:val="20"/>
                <w:lang w:val="en-US"/>
              </w:rPr>
              <w:t>S.5</w:t>
            </w: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3.799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2-Hexanone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Yes 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3.872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3.955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2-Hexanol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4.039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Hexane, 3-bromo-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C6H13Br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7.519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Hexane, 3-bromo-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C6H13Br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7.785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2,6-Octadiene, 2,4-dimethyl-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C10H18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8.105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Benzyl alcohol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C7H8O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9.995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Benzene, 1,4-dimethyl-2,5-bis(1-methylethyl)-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16.391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Phenol, 3,5-bis(1,1-dimethylethyl)-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23.054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Benzoic acid, 4-ethoxy-, ethyl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C11H14O3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23.388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2(4H)-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Benzofuranone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, 5,6,7,7a-tetrahydro-4,4,7a-trimethyl-, (R)-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C11H16O2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23.544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trans-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Farnesol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C15H26O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27.847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Acetic acid, 2-(2,2,6-trimethyl-7-oxa-bicyclo[4.1.0]hept-1-yl)-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propenyl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C14H22O3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28.807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Isopropyl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myristate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C17H34O2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30.014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7,9-Di-tert-butyl-1-oxaspiro(4,5)deca-6,9-diene-2,8-dione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C17H24O3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31.940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1,2-Benzenedicarboxylic acid, butyl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octyl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ester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C20H30O4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32.754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2,2’-(Ethane- 1,2-diylbis(oxy))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bis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(ethane-2,1-diyl)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dibenzoate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C20H22O6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43.724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19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Ergosterol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C28H44O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52.906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Campesterol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C28H48O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53.499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21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Stigmastanol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53.609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22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Stigmasterol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C29H48O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54.283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23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Cholesterol, 7-oxo-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C27H44O2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54.649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24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.beta.-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Sitosterol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55.950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Stigmastanol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C29H52O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56.016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26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Stigmasta-5,24(28)-dien-3-ol, (3.beta.)-</w:t>
            </w:r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C29H48O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56.116</w:t>
            </w:r>
          </w:p>
        </w:tc>
      </w:tr>
      <w:tr w:rsidR="00065169" w:rsidRPr="00A977A4" w:rsidTr="000D02B0">
        <w:tc>
          <w:tcPr>
            <w:tcW w:w="1343" w:type="dxa"/>
            <w:vMerge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9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309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3-Methoxyergost-8(14)-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ene</w:t>
            </w:r>
            <w:proofErr w:type="spellEnd"/>
          </w:p>
        </w:tc>
        <w:tc>
          <w:tcPr>
            <w:tcW w:w="140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</w:tc>
        <w:tc>
          <w:tcPr>
            <w:tcW w:w="1338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C29H50O</w:t>
            </w:r>
          </w:p>
        </w:tc>
        <w:tc>
          <w:tcPr>
            <w:tcW w:w="1360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57.030</w:t>
            </w:r>
          </w:p>
        </w:tc>
      </w:tr>
    </w:tbl>
    <w:p w:rsidR="00065169" w:rsidRDefault="00065169" w:rsidP="00065169">
      <w:pPr>
        <w:jc w:val="both"/>
        <w:rPr>
          <w:b/>
        </w:rPr>
      </w:pPr>
    </w:p>
    <w:p w:rsidR="00065169" w:rsidRDefault="00065169" w:rsidP="00065169">
      <w:pPr>
        <w:jc w:val="both"/>
        <w:rPr>
          <w:rFonts w:eastAsia="Times New Roman" w:cstheme="minorHAnsi"/>
          <w:b/>
          <w:color w:val="222222"/>
          <w:shd w:val="clear" w:color="auto" w:fill="FFFFFF"/>
        </w:rPr>
      </w:pPr>
    </w:p>
    <w:p w:rsidR="00065169" w:rsidRPr="00A977A4" w:rsidRDefault="00065169" w:rsidP="00065169">
      <w:pPr>
        <w:rPr>
          <w:rFonts w:ascii="Arial" w:hAnsi="Arial" w:cs="Arial"/>
          <w:b/>
          <w:i/>
        </w:rPr>
      </w:pP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Su</w:t>
      </w:r>
      <w:r>
        <w:rPr>
          <w:rFonts w:ascii="Arial" w:eastAsia="Times New Roman" w:hAnsi="Arial" w:cs="Arial"/>
          <w:b/>
          <w:color w:val="222222"/>
          <w:shd w:val="clear" w:color="auto" w:fill="FFFFFF"/>
        </w:rPr>
        <w:t>pp</w:t>
      </w:r>
      <w:r w:rsidRPr="00A977A4">
        <w:rPr>
          <w:rFonts w:ascii="Arial" w:eastAsia="Times New Roman" w:hAnsi="Arial" w:cs="Arial"/>
          <w:b/>
          <w:color w:val="222222"/>
          <w:shd w:val="clear" w:color="auto" w:fill="FFFFFF"/>
        </w:rPr>
        <w:t>. Table 3.</w:t>
      </w:r>
      <w:r w:rsidRPr="00A977A4">
        <w:rPr>
          <w:rFonts w:ascii="Arial" w:hAnsi="Arial" w:cs="Arial"/>
          <w:b/>
        </w:rPr>
        <w:t xml:space="preserve"> </w:t>
      </w:r>
      <w:r w:rsidRPr="00A977A4">
        <w:rPr>
          <w:rFonts w:ascii="Arial" w:hAnsi="Arial" w:cs="Arial"/>
          <w:b/>
          <w:i/>
        </w:rPr>
        <w:t xml:space="preserve">In </w:t>
      </w:r>
      <w:proofErr w:type="spellStart"/>
      <w:r w:rsidRPr="00A977A4">
        <w:rPr>
          <w:rFonts w:ascii="Arial" w:hAnsi="Arial" w:cs="Arial"/>
          <w:b/>
          <w:i/>
        </w:rPr>
        <w:t>silico</w:t>
      </w:r>
      <w:proofErr w:type="spellEnd"/>
      <w:r w:rsidRPr="00A977A4">
        <w:rPr>
          <w:rFonts w:ascii="Arial" w:hAnsi="Arial" w:cs="Arial"/>
          <w:b/>
        </w:rPr>
        <w:t xml:space="preserve"> prediction of the stability of the </w:t>
      </w:r>
      <w:r w:rsidRPr="00A977A4">
        <w:rPr>
          <w:rFonts w:ascii="Arial" w:hAnsi="Arial" w:cs="Arial"/>
          <w:b/>
          <w:i/>
        </w:rPr>
        <w:t xml:space="preserve">C. </w:t>
      </w:r>
      <w:proofErr w:type="spellStart"/>
      <w:r w:rsidRPr="00A977A4">
        <w:rPr>
          <w:rFonts w:ascii="Arial" w:hAnsi="Arial" w:cs="Arial"/>
          <w:b/>
          <w:i/>
        </w:rPr>
        <w:t>elegans</w:t>
      </w:r>
      <w:proofErr w:type="spellEnd"/>
      <w:r w:rsidRPr="00A977A4">
        <w:rPr>
          <w:rFonts w:ascii="Arial" w:hAnsi="Arial" w:cs="Arial"/>
          <w:b/>
        </w:rPr>
        <w:t xml:space="preserve"> insulin like protein 2KJI with each compounds. </w:t>
      </w:r>
    </w:p>
    <w:tbl>
      <w:tblPr>
        <w:tblStyle w:val="TableGrid"/>
        <w:tblW w:w="6995" w:type="dxa"/>
        <w:tblLook w:val="0420" w:firstRow="1" w:lastRow="0" w:firstColumn="0" w:lastColumn="0" w:noHBand="0" w:noVBand="1"/>
      </w:tblPr>
      <w:tblGrid>
        <w:gridCol w:w="3720"/>
        <w:gridCol w:w="3275"/>
      </w:tblGrid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  <w:t>Potential compound name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  <w:t>Protein (2KJI)-Ligand Affinity Score</w:t>
            </w:r>
          </w:p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  <w:t>(kcal/</w:t>
            </w:r>
            <w:proofErr w:type="spellStart"/>
            <w:r w:rsidRPr="00A977A4"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  <w:t>mol</w:t>
            </w:r>
            <w:proofErr w:type="spellEnd"/>
            <w:r w:rsidRPr="00A977A4">
              <w:rPr>
                <w:rFonts w:ascii="Arial" w:eastAsia="Times New Roman" w:hAnsi="Arial" w:cs="Arial"/>
                <w:color w:val="222222"/>
                <w:sz w:val="20"/>
                <w:szCs w:val="20"/>
                <w:shd w:val="clear" w:color="auto" w:fill="FFFFFF"/>
                <w:lang w:val="en-US"/>
              </w:rPr>
              <w:t>)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  <w:t>Phenol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  <w:t>-6.375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shd w:val="clear" w:color="auto" w:fill="FFFFFF"/>
                <w:lang w:val="en-US"/>
              </w:rPr>
              <w:t>S</w:t>
            </w: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  <w:t>qualene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  <w:t>-8.186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Cambria Math" w:eastAsia="Times New Roman" w:hAnsi="Cambria Math" w:cs="Cambria Math"/>
                <w:b/>
                <w:bCs/>
                <w:color w:val="222222"/>
                <w:sz w:val="20"/>
                <w:szCs w:val="20"/>
                <w:shd w:val="clear" w:color="auto" w:fill="FFFFFF"/>
              </w:rPr>
              <w:t>𝛾</w:t>
            </w: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  <w:t>-tocopherol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  <w:lang w:val="en-US"/>
              </w:rPr>
              <w:t>-8.356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Cambria Math" w:eastAsia="Times New Roman" w:hAnsi="Cambria Math" w:cs="Cambria Math"/>
                <w:b/>
                <w:bCs/>
                <w:color w:val="222222"/>
                <w:sz w:val="20"/>
                <w:szCs w:val="20"/>
                <w:shd w:val="clear" w:color="auto" w:fill="FFFFFF"/>
              </w:rPr>
              <w:t>𝜶</w:t>
            </w: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-tocopherol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-8.556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β-amyrin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-7.453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Cambria Math" w:eastAsia="Times New Roman" w:hAnsi="Cambria Math" w:cs="Cambria Math"/>
                <w:b/>
                <w:bCs/>
                <w:color w:val="222222"/>
                <w:sz w:val="20"/>
                <w:szCs w:val="20"/>
                <w:shd w:val="clear" w:color="auto" w:fill="FFFFFF"/>
              </w:rPr>
              <w:t>𝛿</w:t>
            </w: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-tocopherol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-8.227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Cambria Math" w:eastAsia="Times New Roman" w:hAnsi="Cambria Math" w:cs="Cambria Math"/>
                <w:b/>
                <w:bCs/>
                <w:color w:val="222222"/>
                <w:sz w:val="20"/>
                <w:szCs w:val="20"/>
                <w:shd w:val="clear" w:color="auto" w:fill="FFFFFF"/>
              </w:rPr>
              <w:t>𝜶</w:t>
            </w: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-amyrin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-7.874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lastRenderedPageBreak/>
              <w:t>Cholest-4-en-3-one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-8.151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Cambria Math" w:eastAsia="Times New Roman" w:hAnsi="Cambria Math" w:cs="Cambria Math"/>
                <w:b/>
                <w:bCs/>
                <w:color w:val="222222"/>
                <w:sz w:val="20"/>
                <w:szCs w:val="20"/>
                <w:shd w:val="clear" w:color="auto" w:fill="FFFFFF"/>
              </w:rPr>
              <w:t>𝜶</w:t>
            </w: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-spinasterone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-8.145</w:t>
            </w:r>
          </w:p>
        </w:tc>
      </w:tr>
      <w:tr w:rsidR="00065169" w:rsidRPr="00A977A4" w:rsidTr="000D02B0">
        <w:trPr>
          <w:trHeight w:val="584"/>
        </w:trPr>
        <w:tc>
          <w:tcPr>
            <w:tcW w:w="3720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Stigmast-4-en-3-one</w:t>
            </w:r>
          </w:p>
        </w:tc>
        <w:tc>
          <w:tcPr>
            <w:tcW w:w="3275" w:type="dxa"/>
            <w:hideMark/>
          </w:tcPr>
          <w:p w:rsidR="00065169" w:rsidRPr="00A977A4" w:rsidRDefault="00065169" w:rsidP="000D02B0">
            <w:pPr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A977A4">
              <w:rPr>
                <w:rFonts w:ascii="Arial" w:eastAsia="Times New Roman" w:hAnsi="Arial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-8.246</w:t>
            </w:r>
          </w:p>
        </w:tc>
      </w:tr>
    </w:tbl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b/>
        </w:rPr>
      </w:pPr>
    </w:p>
    <w:p w:rsidR="00065169" w:rsidRDefault="00065169" w:rsidP="00065169">
      <w:pPr>
        <w:rPr>
          <w:rFonts w:ascii="Arial" w:hAnsi="Arial" w:cs="Arial"/>
          <w:b/>
        </w:rPr>
      </w:pPr>
      <w:r w:rsidRPr="00A977A4">
        <w:rPr>
          <w:rFonts w:ascii="Arial" w:hAnsi="Arial" w:cs="Arial"/>
          <w:b/>
        </w:rPr>
        <w:t>Su</w:t>
      </w:r>
      <w:r>
        <w:rPr>
          <w:rFonts w:ascii="Arial" w:hAnsi="Arial" w:cs="Arial"/>
          <w:b/>
        </w:rPr>
        <w:t>pp</w:t>
      </w:r>
      <w:r w:rsidRPr="00A977A4">
        <w:rPr>
          <w:rFonts w:ascii="Arial" w:hAnsi="Arial" w:cs="Arial"/>
          <w:b/>
        </w:rPr>
        <w:t xml:space="preserve">. Table 4. A list of </w:t>
      </w:r>
      <w:r w:rsidRPr="00A977A4">
        <w:rPr>
          <w:rFonts w:ascii="Arial" w:hAnsi="Arial" w:cs="Arial"/>
          <w:b/>
          <w:i/>
        </w:rPr>
        <w:t xml:space="preserve">C. </w:t>
      </w:r>
      <w:proofErr w:type="spellStart"/>
      <w:r w:rsidRPr="00A977A4">
        <w:rPr>
          <w:rFonts w:ascii="Arial" w:hAnsi="Arial" w:cs="Arial"/>
          <w:b/>
          <w:i/>
        </w:rPr>
        <w:t>elegans</w:t>
      </w:r>
      <w:proofErr w:type="spellEnd"/>
      <w:r w:rsidRPr="00A977A4">
        <w:rPr>
          <w:rFonts w:ascii="Arial" w:hAnsi="Arial" w:cs="Arial"/>
          <w:b/>
        </w:rPr>
        <w:t xml:space="preserve"> strains used in this study</w:t>
      </w:r>
    </w:p>
    <w:p w:rsidR="00065169" w:rsidRPr="00A977A4" w:rsidRDefault="00065169" w:rsidP="00065169">
      <w:pPr>
        <w:rPr>
          <w:rFonts w:ascii="Arial" w:hAnsi="Arial" w:cs="Arial"/>
          <w:b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7554"/>
        <w:gridCol w:w="1372"/>
      </w:tblGrid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Strain genotypes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Source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N2: wild-type Bristol isolate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CGC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VC223: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tom-1(ok285)I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CGC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NM204: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snt-1(md290)II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CGC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 xml:space="preserve">CK12: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GB"/>
              </w:rPr>
              <w:t>Is</w:t>
            </w: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GB"/>
              </w:rPr>
              <w:t>aex-3</w:t>
            </w: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tau4R1N(P301L); 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GB"/>
              </w:rPr>
              <w:t>myo-2</w:t>
            </w: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GFP]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 xml:space="preserve">Steven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Zuryn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 xml:space="preserve">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JKM2: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Is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rgef-1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Signalpeptide-Abeta(1-42)::hsp-3(IRES)::wrmScarlet-Abeta(1-42)::unc-54(3’UTR) +rps-0p::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HygroR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Janine Kirstein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UA357: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baln52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eat-4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ApoE3; 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unc-54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tdTomato];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adls1240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eat-4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GFP]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Caldwell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UA198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baln34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eat-4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Abeta42; 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myo-2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mCherry]; adls1240[p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eat-4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GFP]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Caldwell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 xml:space="preserve">Neuronal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mt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 xml:space="preserve">-Rosella: N2;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GB"/>
              </w:rPr>
              <w:t>Ex</w:t>
            </w: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GB"/>
              </w:rPr>
              <w:t>unc-119</w:t>
            </w: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 xml:space="preserve">TOMM-20::Rosella;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GB"/>
              </w:rPr>
              <w:t>rol-6(su1006)</w:t>
            </w:r>
            <w:r w:rsidRPr="00A977A4">
              <w:rPr>
                <w:rFonts w:ascii="Arial" w:hAnsi="Arial" w:cs="Arial"/>
                <w:sz w:val="20"/>
                <w:szCs w:val="20"/>
                <w:lang w:val="en-GB"/>
              </w:rPr>
              <w:t>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Tavernarakis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IR2160: N2;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Ex002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rab-3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DsRed::LGG- 1; 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rab-3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GFP::DCT-1; 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myo-2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GFP]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Tavernarakis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CF1934: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daf-16(mu86)I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muIs109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daf-16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::GFP::DAF-16; 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odr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RFP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77A4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Antebi’s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TU3401: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sid-1(pk3321)V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uIs69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[pCFJ90 (p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myo-2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mCherry) + 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unc-119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sid-1]V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Rafal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Lab</w:t>
            </w:r>
          </w:p>
        </w:tc>
      </w:tr>
      <w:tr w:rsidR="00065169" w:rsidRPr="00A977A4" w:rsidTr="000D02B0">
        <w:tc>
          <w:tcPr>
            <w:tcW w:w="7650" w:type="dxa"/>
          </w:tcPr>
          <w:p w:rsidR="00065169" w:rsidRPr="00A977A4" w:rsidRDefault="00065169" w:rsidP="000D02B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EFF065: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sid-1(pk3321)V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uIs69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 [pCFJ90 (p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myo-2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mCherry) + 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unc-119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 xml:space="preserve">sid-1]V; </w:t>
            </w:r>
            <w:r w:rsidRPr="00A977A4">
              <w:rPr>
                <w:rFonts w:ascii="Arial" w:hAnsi="Arial" w:cs="Arial"/>
                <w:i/>
                <w:sz w:val="20"/>
                <w:szCs w:val="20"/>
                <w:lang w:val="en-US"/>
              </w:rPr>
              <w:t>Is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[p</w:t>
            </w:r>
            <w:r w:rsidRPr="00A977A4">
              <w:rPr>
                <w:rFonts w:ascii="Arial" w:hAnsi="Arial" w:cs="Arial"/>
                <w:i/>
                <w:sz w:val="20"/>
                <w:szCs w:val="20"/>
                <w:vertAlign w:val="subscript"/>
                <w:lang w:val="en-US"/>
              </w:rPr>
              <w:t>rgef-1</w:t>
            </w: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Signalpeptide-Abeta(1-42)::hsp-3(IRES)::wrmScarlet-Abeta(1-42)::unc-54(3’UTR) +rps-0p::</w:t>
            </w:r>
            <w:proofErr w:type="spellStart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HygroR</w:t>
            </w:r>
            <w:proofErr w:type="spellEnd"/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]</w:t>
            </w:r>
          </w:p>
        </w:tc>
        <w:tc>
          <w:tcPr>
            <w:tcW w:w="1276" w:type="dxa"/>
          </w:tcPr>
          <w:p w:rsidR="00065169" w:rsidRPr="00A977A4" w:rsidRDefault="00065169" w:rsidP="000D02B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977A4">
              <w:rPr>
                <w:rFonts w:ascii="Arial" w:hAnsi="Arial" w:cs="Arial"/>
                <w:sz w:val="20"/>
                <w:szCs w:val="20"/>
                <w:lang w:val="en-US"/>
              </w:rPr>
              <w:t>Fang lab</w:t>
            </w:r>
          </w:p>
        </w:tc>
      </w:tr>
    </w:tbl>
    <w:p w:rsidR="00065169" w:rsidRDefault="00065169" w:rsidP="00065169">
      <w:pPr>
        <w:rPr>
          <w:rFonts w:ascii="Arial" w:hAnsi="Arial" w:cs="Arial"/>
          <w:b/>
        </w:rPr>
      </w:pPr>
    </w:p>
    <w:p w:rsidR="00065169" w:rsidRDefault="00065169" w:rsidP="00065169">
      <w:pPr>
        <w:rPr>
          <w:rFonts w:ascii="Arial" w:hAnsi="Arial" w:cs="Arial"/>
          <w:b/>
        </w:rPr>
      </w:pPr>
    </w:p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36C25"/>
    <w:multiLevelType w:val="multilevel"/>
    <w:tmpl w:val="2E7495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05C6B"/>
    <w:multiLevelType w:val="multilevel"/>
    <w:tmpl w:val="734815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D0A1F"/>
    <w:multiLevelType w:val="hybridMultilevel"/>
    <w:tmpl w:val="247E5CC0"/>
    <w:lvl w:ilvl="0" w:tplc="1994A8B8">
      <w:start w:val="16"/>
      <w:numFmt w:val="bullet"/>
      <w:lvlText w:val=""/>
      <w:lvlJc w:val="left"/>
      <w:pPr>
        <w:ind w:left="3328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78550E1"/>
    <w:multiLevelType w:val="multilevel"/>
    <w:tmpl w:val="C8D419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2A401B97"/>
    <w:multiLevelType w:val="hybridMultilevel"/>
    <w:tmpl w:val="CCDA832C"/>
    <w:lvl w:ilvl="0" w:tplc="9AFAF4D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887EEC7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9421F2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9C74A30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2885B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C80F5CC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D6A996E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B5028E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B68CDD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1A1C67"/>
    <w:multiLevelType w:val="multilevel"/>
    <w:tmpl w:val="88C2E5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2B1AF8"/>
    <w:multiLevelType w:val="hybridMultilevel"/>
    <w:tmpl w:val="6C38006A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B22C52"/>
    <w:multiLevelType w:val="hybridMultilevel"/>
    <w:tmpl w:val="B2B6614C"/>
    <w:lvl w:ilvl="0" w:tplc="6CAEDC36">
      <w:start w:val="1"/>
      <w:numFmt w:val="decimal"/>
      <w:lvlText w:val="%1"/>
      <w:lvlJc w:val="left"/>
      <w:pPr>
        <w:ind w:left="2968" w:hanging="360"/>
      </w:pPr>
      <w:rPr>
        <w:rFonts w:cs="Times New Roman"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88" w:hanging="360"/>
      </w:pPr>
    </w:lvl>
    <w:lvl w:ilvl="2" w:tplc="0409001B" w:tentative="1">
      <w:start w:val="1"/>
      <w:numFmt w:val="lowerRoman"/>
      <w:lvlText w:val="%3."/>
      <w:lvlJc w:val="right"/>
      <w:pPr>
        <w:ind w:left="4408" w:hanging="180"/>
      </w:pPr>
    </w:lvl>
    <w:lvl w:ilvl="3" w:tplc="0409000F" w:tentative="1">
      <w:start w:val="1"/>
      <w:numFmt w:val="decimal"/>
      <w:lvlText w:val="%4."/>
      <w:lvlJc w:val="left"/>
      <w:pPr>
        <w:ind w:left="5128" w:hanging="360"/>
      </w:pPr>
    </w:lvl>
    <w:lvl w:ilvl="4" w:tplc="04090019" w:tentative="1">
      <w:start w:val="1"/>
      <w:numFmt w:val="lowerLetter"/>
      <w:lvlText w:val="%5."/>
      <w:lvlJc w:val="left"/>
      <w:pPr>
        <w:ind w:left="5848" w:hanging="360"/>
      </w:pPr>
    </w:lvl>
    <w:lvl w:ilvl="5" w:tplc="0409001B" w:tentative="1">
      <w:start w:val="1"/>
      <w:numFmt w:val="lowerRoman"/>
      <w:lvlText w:val="%6."/>
      <w:lvlJc w:val="right"/>
      <w:pPr>
        <w:ind w:left="6568" w:hanging="180"/>
      </w:pPr>
    </w:lvl>
    <w:lvl w:ilvl="6" w:tplc="0409000F" w:tentative="1">
      <w:start w:val="1"/>
      <w:numFmt w:val="decimal"/>
      <w:lvlText w:val="%7."/>
      <w:lvlJc w:val="left"/>
      <w:pPr>
        <w:ind w:left="7288" w:hanging="360"/>
      </w:pPr>
    </w:lvl>
    <w:lvl w:ilvl="7" w:tplc="04090019" w:tentative="1">
      <w:start w:val="1"/>
      <w:numFmt w:val="lowerLetter"/>
      <w:lvlText w:val="%8."/>
      <w:lvlJc w:val="left"/>
      <w:pPr>
        <w:ind w:left="8008" w:hanging="360"/>
      </w:pPr>
    </w:lvl>
    <w:lvl w:ilvl="8" w:tplc="0409001B" w:tentative="1">
      <w:start w:val="1"/>
      <w:numFmt w:val="lowerRoman"/>
      <w:lvlText w:val="%9."/>
      <w:lvlJc w:val="right"/>
      <w:pPr>
        <w:ind w:left="8728" w:hanging="180"/>
      </w:pPr>
    </w:lvl>
  </w:abstractNum>
  <w:abstractNum w:abstractNumId="8" w15:restartNumberingAfterBreak="0">
    <w:nsid w:val="623C674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FDA506E"/>
    <w:multiLevelType w:val="hybridMultilevel"/>
    <w:tmpl w:val="1F764B40"/>
    <w:lvl w:ilvl="0" w:tplc="F92804E4">
      <w:start w:val="3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8"/>
  </w:num>
  <w:num w:numId="6">
    <w:abstractNumId w:val="7"/>
  </w:num>
  <w:num w:numId="7">
    <w:abstractNumId w:val="2"/>
  </w:num>
  <w:num w:numId="8">
    <w:abstractNumId w:val="9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169"/>
    <w:rsid w:val="00065169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1185E"/>
  <w15:chartTrackingRefBased/>
  <w15:docId w15:val="{E6E44120-39A6-4CCB-8F75-6264D2D75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06516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5169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paragraph" w:styleId="ListParagraph">
    <w:name w:val="List Paragraph"/>
    <w:basedOn w:val="Normal"/>
    <w:link w:val="ListParagraphChar"/>
    <w:uiPriority w:val="34"/>
    <w:qFormat/>
    <w:rsid w:val="00065169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065169"/>
    <w:rPr>
      <w:rFonts w:eastAsiaTheme="minorEastAsia"/>
      <w:sz w:val="24"/>
      <w:szCs w:val="24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065169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065169"/>
    <w:rPr>
      <w:rFonts w:ascii="Calibri" w:eastAsiaTheme="minorEastAsia" w:hAnsi="Calibri" w:cs="Calibri"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065169"/>
    <w:rPr>
      <w:rFonts w:ascii="Calibri" w:hAnsi="Calibri" w:cs="Calibri"/>
    </w:rPr>
  </w:style>
  <w:style w:type="character" w:customStyle="1" w:styleId="EndNoteBibliographyChar">
    <w:name w:val="EndNote Bibliography Char"/>
    <w:basedOn w:val="ListParagraphChar"/>
    <w:link w:val="EndNoteBibliography"/>
    <w:rsid w:val="00065169"/>
    <w:rPr>
      <w:rFonts w:ascii="Calibri" w:eastAsiaTheme="minorEastAsia" w:hAnsi="Calibri" w:cs="Calibri"/>
      <w:sz w:val="24"/>
      <w:szCs w:val="24"/>
      <w:lang w:eastAsia="zh-CN"/>
    </w:rPr>
  </w:style>
  <w:style w:type="paragraph" w:customStyle="1" w:styleId="MDPI16affiliation">
    <w:name w:val="MDPI_1.6_affiliation"/>
    <w:qFormat/>
    <w:rsid w:val="00065169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character" w:styleId="Hyperlink">
    <w:name w:val="Hyperlink"/>
    <w:uiPriority w:val="99"/>
    <w:rsid w:val="0006516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5169"/>
    <w:rPr>
      <w:color w:val="954F72" w:themeColor="followedHyperlink"/>
      <w:u w:val="single"/>
    </w:rPr>
  </w:style>
  <w:style w:type="character" w:customStyle="1" w:styleId="title-text">
    <w:name w:val="title-text"/>
    <w:basedOn w:val="DefaultParagraphFont"/>
    <w:rsid w:val="0006516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516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6516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065169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5169"/>
    <w:pPr>
      <w:tabs>
        <w:tab w:val="center" w:pos="4536"/>
        <w:tab w:val="right" w:pos="9072"/>
      </w:tabs>
    </w:pPr>
    <w:rPr>
      <w:rFonts w:eastAsiaTheme="minorHAnsi"/>
      <w:sz w:val="22"/>
      <w:szCs w:val="22"/>
      <w:lang w:val="nb-NO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65169"/>
    <w:rPr>
      <w:lang w:val="nb-NO"/>
    </w:rPr>
  </w:style>
  <w:style w:type="paragraph" w:styleId="Footer">
    <w:name w:val="footer"/>
    <w:basedOn w:val="Normal"/>
    <w:link w:val="FooterChar"/>
    <w:uiPriority w:val="99"/>
    <w:unhideWhenUsed/>
    <w:rsid w:val="00065169"/>
    <w:pPr>
      <w:tabs>
        <w:tab w:val="center" w:pos="4536"/>
        <w:tab w:val="right" w:pos="9072"/>
      </w:tabs>
    </w:pPr>
    <w:rPr>
      <w:rFonts w:eastAsiaTheme="minorHAnsi"/>
      <w:sz w:val="22"/>
      <w:szCs w:val="22"/>
      <w:lang w:val="nb-NO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65169"/>
    <w:rPr>
      <w:lang w:val="nb-NO"/>
    </w:rPr>
  </w:style>
  <w:style w:type="table" w:styleId="PlainTable1">
    <w:name w:val="Plain Table 1"/>
    <w:basedOn w:val="TableNormal"/>
    <w:uiPriority w:val="41"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7Colorful">
    <w:name w:val="Grid Table 7 Colorful"/>
    <w:basedOn w:val="TableNormal"/>
    <w:uiPriority w:val="52"/>
    <w:rsid w:val="00065169"/>
    <w:pPr>
      <w:spacing w:after="0" w:line="240" w:lineRule="auto"/>
    </w:pPr>
    <w:rPr>
      <w:rFonts w:eastAsiaTheme="minorEastAsia"/>
      <w:color w:val="000000" w:themeColor="text1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6Colorful">
    <w:name w:val="Grid Table 6 Colorful"/>
    <w:basedOn w:val="TableNormal"/>
    <w:uiPriority w:val="51"/>
    <w:rsid w:val="00065169"/>
    <w:pPr>
      <w:spacing w:after="0" w:line="240" w:lineRule="auto"/>
    </w:pPr>
    <w:rPr>
      <w:rFonts w:eastAsiaTheme="minorEastAsia"/>
      <w:color w:val="000000" w:themeColor="text1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3">
    <w:name w:val="Plain Table 3"/>
    <w:basedOn w:val="TableNormal"/>
    <w:uiPriority w:val="43"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1Light">
    <w:name w:val="List Table 1 Light"/>
    <w:basedOn w:val="TableNormal"/>
    <w:uiPriority w:val="46"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Light">
    <w:name w:val="Grid Table Light"/>
    <w:basedOn w:val="TableNormal"/>
    <w:uiPriority w:val="40"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">
    <w:name w:val="Grid Table 2"/>
    <w:basedOn w:val="TableNormal"/>
    <w:uiPriority w:val="47"/>
    <w:rsid w:val="00065169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MDPI21heading1">
    <w:name w:val="MDPI_2.1_heading1"/>
    <w:link w:val="MDPI21heading1Char"/>
    <w:qFormat/>
    <w:rsid w:val="0006516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character" w:customStyle="1" w:styleId="MDPI21heading1Char">
    <w:name w:val="MDPI_2.1_heading1 Char"/>
    <w:basedOn w:val="DefaultParagraphFont"/>
    <w:link w:val="MDPI21heading1"/>
    <w:rsid w:val="00065169"/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6516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651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51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5169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1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169"/>
    <w:rPr>
      <w:rFonts w:eastAsiaTheme="minorEastAsia"/>
      <w:b/>
      <w:bCs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516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169"/>
    <w:rPr>
      <w:rFonts w:ascii="Segoe UI" w:eastAsiaTheme="minorEastAsia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2144</Words>
  <Characters>12222</Characters>
  <Application>Microsoft Office Word</Application>
  <DocSecurity>0</DocSecurity>
  <Lines>101</Lines>
  <Paragraphs>28</Paragraphs>
  <ScaleCrop>false</ScaleCrop>
  <Company>Springer Nature IT</Company>
  <LinksUpToDate>false</LinksUpToDate>
  <CharactersWithSpaces>14338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2021-12-30T09:00:00Z</dcterms:created>
  <dcterms:modified xsi:type="dcterms:W3CDTF">2021-12-30T09:00:00Z</dcterms:modified>
</cp:coreProperties>
</file>