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9CD78C" w14:textId="77777777" w:rsidR="007E07DE" w:rsidRPr="00A100C7" w:rsidRDefault="007E07DE" w:rsidP="007E07DE">
      <w:pPr>
        <w:rPr>
          <w:b/>
          <w:bCs/>
          <w:sz w:val="20"/>
          <w:szCs w:val="20"/>
          <w:u w:val="single"/>
        </w:rPr>
      </w:pPr>
      <w:r>
        <w:rPr>
          <w:b/>
          <w:bCs/>
          <w:noProof/>
          <w:sz w:val="20"/>
          <w:szCs w:val="20"/>
          <w:u w:val="single"/>
        </w:rPr>
        <w:drawing>
          <wp:inline distT="0" distB="0" distL="0" distR="0" wp14:anchorId="63CA3B47" wp14:editId="6050FF96">
            <wp:extent cx="4690614" cy="7932280"/>
            <wp:effectExtent l="0" t="0" r="0" b="5715"/>
            <wp:docPr id="12" name="Picture 12" descr="Diagram, application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Diagram, application, engineering drawing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2992" cy="7936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5D71F" w14:textId="77777777" w:rsidR="007E07DE" w:rsidRPr="00A100C7" w:rsidRDefault="007E07DE" w:rsidP="007E07DE">
      <w:pPr>
        <w:jc w:val="both"/>
        <w:rPr>
          <w:color w:val="000000" w:themeColor="text1"/>
          <w:shd w:val="clear" w:color="auto" w:fill="FFFFFF"/>
        </w:rPr>
      </w:pPr>
    </w:p>
    <w:p w14:paraId="471AA21E" w14:textId="77777777" w:rsidR="007E07DE" w:rsidRPr="00E7703C" w:rsidRDefault="007E07DE" w:rsidP="007E07DE">
      <w:pPr>
        <w:shd w:val="clear" w:color="auto" w:fill="FFFFFF"/>
        <w:spacing w:before="100" w:beforeAutospacing="1" w:after="100" w:afterAutospacing="1"/>
        <w:jc w:val="both"/>
        <w:rPr>
          <w:color w:val="222222"/>
          <w:shd w:val="clear" w:color="auto" w:fill="FFFFFF"/>
        </w:rPr>
      </w:pPr>
      <w:r>
        <w:rPr>
          <w:b/>
          <w:bCs/>
          <w:color w:val="000000" w:themeColor="text1"/>
          <w:sz w:val="20"/>
          <w:szCs w:val="20"/>
          <w:u w:val="single"/>
          <w:shd w:val="clear" w:color="auto" w:fill="FFFFFF"/>
        </w:rPr>
        <w:t xml:space="preserve">Supplementary </w:t>
      </w:r>
      <w:r w:rsidRPr="00A100C7">
        <w:rPr>
          <w:b/>
          <w:bCs/>
          <w:color w:val="000000" w:themeColor="text1"/>
          <w:sz w:val="20"/>
          <w:szCs w:val="20"/>
          <w:u w:val="single"/>
          <w:shd w:val="clear" w:color="auto" w:fill="FFFFFF"/>
        </w:rPr>
        <w:t xml:space="preserve">Figure </w:t>
      </w:r>
      <w:r>
        <w:rPr>
          <w:b/>
          <w:bCs/>
          <w:color w:val="000000" w:themeColor="text1"/>
          <w:sz w:val="20"/>
          <w:szCs w:val="20"/>
          <w:u w:val="single"/>
          <w:shd w:val="clear" w:color="auto" w:fill="FFFFFF"/>
        </w:rPr>
        <w:t>1:</w:t>
      </w:r>
      <w:r w:rsidRPr="00A100C7">
        <w:rPr>
          <w:b/>
          <w:bCs/>
          <w:color w:val="000000" w:themeColor="text1"/>
          <w:sz w:val="20"/>
          <w:szCs w:val="20"/>
          <w:u w:val="single"/>
          <w:shd w:val="clear" w:color="auto" w:fill="FFFFFF"/>
        </w:rPr>
        <w:t xml:space="preserve"> Humoral neutralisation of live SARS-CoV-2 variants in convalescent and vaccinated donors and concentrated human IgG plasma samples</w:t>
      </w:r>
    </w:p>
    <w:p w14:paraId="79550EE5" w14:textId="77777777" w:rsidR="007E07DE" w:rsidRDefault="007E07DE">
      <w:bookmarkStart w:id="0" w:name="_GoBack"/>
      <w:bookmarkEnd w:id="0"/>
    </w:p>
    <w:sectPr w:rsidR="007E07DE" w:rsidSect="009B4AE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7DE"/>
    <w:rsid w:val="007E07DE"/>
    <w:rsid w:val="009E2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D0956"/>
  <w15:chartTrackingRefBased/>
  <w15:docId w15:val="{1CFCE06F-5F8D-D340-9D1C-04C377F9A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E07DE"/>
    <w:rPr>
      <w:rFonts w:ascii="Times New Roman" w:eastAsia="Times New Roman" w:hAnsi="Times New Roman" w:cs="Times New Roman"/>
      <w:lang w:val="en-AU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2022-01-11T20:18:00Z</dcterms:created>
  <dcterms:modified xsi:type="dcterms:W3CDTF">2022-01-11T20:18:00Z</dcterms:modified>
</cp:coreProperties>
</file>