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  <w:lang w:val="en-US" w:eastAsia="zh-CN"/>
        </w:rPr>
        <w:t>Additional file 2:</w:t>
      </w:r>
      <w:r>
        <w:rPr>
          <w:rFonts w:ascii="Times New Roman" w:hAnsi="Times New Roman"/>
          <w:b/>
          <w:bCs/>
          <w:sz w:val="24"/>
        </w:rPr>
        <w:t xml:space="preserve"> </w:t>
      </w:r>
      <w:bookmarkStart w:id="0" w:name="_GoBack"/>
      <w:r>
        <w:rPr>
          <w:rFonts w:ascii="Times New Roman" w:hAnsi="Times New Roman"/>
          <w:b/>
          <w:bCs/>
          <w:sz w:val="24"/>
        </w:rPr>
        <w:t>Association between medication exposure and cancer risk</w:t>
      </w:r>
    </w:p>
    <w:bookmarkEnd w:id="0"/>
    <w:tbl>
      <w:tblPr>
        <w:tblStyle w:val="5"/>
        <w:tblpPr w:leftFromText="180" w:rightFromText="180" w:vertAnchor="text" w:horzAnchor="page" w:tblpXSpec="center" w:tblpY="303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281"/>
        <w:gridCol w:w="1175"/>
        <w:gridCol w:w="1617"/>
        <w:gridCol w:w="818"/>
        <w:gridCol w:w="1617"/>
        <w:gridCol w:w="81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Exposure</w:t>
            </w:r>
          </w:p>
        </w:tc>
        <w:tc>
          <w:tcPr>
            <w:tcW w:w="1281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Cancer case (n=51)</w:t>
            </w:r>
          </w:p>
        </w:tc>
        <w:tc>
          <w:tcPr>
            <w:tcW w:w="1175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ind w:left="240" w:hanging="240" w:hangingChars="10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Cancer-free</w:t>
            </w:r>
          </w:p>
          <w:p>
            <w:pPr>
              <w:ind w:left="240" w:hanging="240" w:hangingChars="10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(n=204)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Univariate analysis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Multivariable analysis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8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75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OR(95% CI)</w:t>
            </w:r>
          </w:p>
        </w:tc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24"/>
              </w:rPr>
              <w:t>P</w:t>
            </w:r>
            <w:r>
              <w:rPr>
                <w:rFonts w:ascii="Times New Roman" w:hAnsi="Times New Roman"/>
                <w:kern w:val="0"/>
                <w:sz w:val="24"/>
              </w:rPr>
              <w:t>-value</w:t>
            </w:r>
          </w:p>
        </w:tc>
        <w:tc>
          <w:tcPr>
            <w:tcW w:w="16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OR(95% CI)</w:t>
            </w:r>
          </w:p>
        </w:tc>
        <w:tc>
          <w:tcPr>
            <w:tcW w:w="8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24"/>
              </w:rPr>
              <w:t>P</w:t>
            </w:r>
            <w:r>
              <w:rPr>
                <w:rFonts w:ascii="Times New Roman" w:hAnsi="Times New Roman"/>
                <w:kern w:val="0"/>
                <w:sz w:val="24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GC, n (%)</w:t>
            </w:r>
          </w:p>
        </w:tc>
        <w:tc>
          <w:tcPr>
            <w:tcW w:w="128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46 (90.20)</w:t>
            </w:r>
          </w:p>
        </w:tc>
        <w:tc>
          <w:tcPr>
            <w:tcW w:w="117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188(92.16)</w:t>
            </w:r>
          </w:p>
        </w:tc>
        <w:tc>
          <w:tcPr>
            <w:tcW w:w="161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0.783(0.273-2.248)</w:t>
            </w:r>
          </w:p>
        </w:tc>
        <w:tc>
          <w:tcPr>
            <w:tcW w:w="8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0.649</w:t>
            </w:r>
          </w:p>
        </w:tc>
        <w:tc>
          <w:tcPr>
            <w:tcW w:w="161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0.955(0.254-3.586)</w:t>
            </w:r>
          </w:p>
        </w:tc>
        <w:tc>
          <w:tcPr>
            <w:tcW w:w="81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0.945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HCQ, n (%)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29 (56.87)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155 (75.98)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0.417(0.220-0.791)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0.007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0.431(0.208-0.894)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0024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CTX, n (%)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 (11.76)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18 (8.82)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1.378(0.517-3.670)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0.521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1.766(0.582-5.362)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0.315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MTX, n (%)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 (5.89)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9(7.35)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1.354(0.353-5.194)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0.658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1.701(0.419-6.912)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0.458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AZA, n (%)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 (3.92)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5(5.88)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6.624(0.306-8.624)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0.566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1.381(0.204-9.357)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0.741</w:t>
            </w:r>
          </w:p>
        </w:tc>
      </w:tr>
    </w:tbl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  <w:vertAlign w:val="superscript"/>
        </w:rPr>
      </w:pPr>
      <w:r>
        <w:rPr>
          <w:rFonts w:ascii="Times New Roman" w:hAnsi="Times New Roman"/>
          <w:sz w:val="24"/>
        </w:rPr>
        <w:t xml:space="preserve">GC: glucocorticoid; HCQ: hydroxychloroquine; CTX: cyclophosphamide; MTX: methotrexate; AZA: azathioprine. </w:t>
      </w:r>
      <w:r>
        <w:rPr>
          <w:rFonts w:ascii="Times New Roman" w:hAnsi="Times New Roman"/>
          <w:sz w:val="24"/>
          <w:vertAlign w:val="superscript"/>
        </w:rPr>
        <w:t>a</w:t>
      </w:r>
      <w:r>
        <w:rPr>
          <w:rFonts w:ascii="Times New Roman" w:hAnsi="Times New Roman"/>
          <w:sz w:val="24"/>
        </w:rPr>
        <w:t>adjusted for age, gender, age at SLE diagnosis, disease course of SLE, hypertension, diabetes mellitus and dyslipidemia. OR: odds ratio.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9D9"/>
    <w:rsid w:val="00316686"/>
    <w:rsid w:val="0062738E"/>
    <w:rsid w:val="00D621AD"/>
    <w:rsid w:val="00D809D9"/>
    <w:rsid w:val="2B776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127</Words>
  <Characters>725</Characters>
  <Lines>6</Lines>
  <Paragraphs>1</Paragraphs>
  <TotalTime>16</TotalTime>
  <ScaleCrop>false</ScaleCrop>
  <LinksUpToDate>false</LinksUpToDate>
  <CharactersWithSpaces>851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2020-01-15T06:53:00Z</dcterms:created>
  <dc:creator>微软用户</dc:creator>
  <cp:lastModifiedBy>燕子</cp:lastModifiedBy>
  <dcterms:modified xsi:type="dcterms:W3CDTF">2020-05-05T09:06:06Z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