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743C5" w14:textId="705E37D2" w:rsidR="00FD18B4" w:rsidRPr="00A70354" w:rsidRDefault="00B54F86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eastAsia="AdvOT21de4310" w:hAnsi="Times New Roman"/>
          <w:b/>
          <w:bCs/>
          <w:kern w:val="0"/>
          <w:sz w:val="24"/>
          <w:lang w:bidi="ar"/>
        </w:rPr>
        <w:t xml:space="preserve">Appendix </w:t>
      </w:r>
      <w:r w:rsidR="00332EA3" w:rsidRPr="00A70354">
        <w:rPr>
          <w:rFonts w:ascii="Times New Roman" w:hAnsi="Times New Roman"/>
          <w:b/>
          <w:bCs/>
          <w:sz w:val="24"/>
        </w:rPr>
        <w:t xml:space="preserve">Table </w:t>
      </w:r>
      <w:r w:rsidR="007E21EC">
        <w:rPr>
          <w:rFonts w:ascii="Times New Roman" w:hAnsi="Times New Roman"/>
          <w:b/>
          <w:bCs/>
          <w:sz w:val="24"/>
        </w:rPr>
        <w:t>S</w:t>
      </w:r>
      <w:r>
        <w:rPr>
          <w:rFonts w:ascii="Times New Roman" w:hAnsi="Times New Roman"/>
          <w:b/>
          <w:bCs/>
          <w:sz w:val="24"/>
        </w:rPr>
        <w:t>1</w:t>
      </w:r>
      <w:r w:rsidR="00332EA3" w:rsidRPr="00A70354">
        <w:rPr>
          <w:rFonts w:ascii="Times New Roman" w:hAnsi="Times New Roman"/>
          <w:b/>
          <w:bCs/>
          <w:sz w:val="24"/>
        </w:rPr>
        <w:t>. Summary of the induction chemotherapy regimens used for newly diagnosed patients with PCNSLs</w:t>
      </w:r>
    </w:p>
    <w:tbl>
      <w:tblPr>
        <w:tblW w:w="523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127"/>
        <w:gridCol w:w="984"/>
        <w:gridCol w:w="984"/>
        <w:gridCol w:w="981"/>
        <w:gridCol w:w="984"/>
        <w:gridCol w:w="669"/>
        <w:gridCol w:w="534"/>
        <w:gridCol w:w="1469"/>
        <w:gridCol w:w="1545"/>
        <w:gridCol w:w="1264"/>
        <w:gridCol w:w="1083"/>
        <w:gridCol w:w="555"/>
        <w:gridCol w:w="1854"/>
      </w:tblGrid>
      <w:tr w:rsidR="00FD18B4" w:rsidRPr="00A70354" w14:paraId="709979AC" w14:textId="77777777" w:rsidTr="006B268A">
        <w:trPr>
          <w:trHeight w:hRule="exact" w:val="1023"/>
          <w:jc w:val="center"/>
        </w:trPr>
        <w:tc>
          <w:tcPr>
            <w:tcW w:w="194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560A1C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Type of study</w:t>
            </w:r>
          </w:p>
        </w:tc>
        <w:tc>
          <w:tcPr>
            <w:tcW w:w="386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CE9A4F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Study</w:t>
            </w:r>
          </w:p>
        </w:tc>
        <w:tc>
          <w:tcPr>
            <w:tcW w:w="337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027CC6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Chemotherapy regimen</w:t>
            </w:r>
          </w:p>
        </w:tc>
        <w:tc>
          <w:tcPr>
            <w:tcW w:w="337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3B9455" w14:textId="2FDF8A55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Number of</w:t>
            </w: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br/>
              <w:t>patients/total</w:t>
            </w: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br/>
              <w:t>patients</w:t>
            </w:r>
          </w:p>
        </w:tc>
        <w:tc>
          <w:tcPr>
            <w:tcW w:w="336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B6522C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</w:t>
            </w: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br/>
              <w:t>(range) age,</w:t>
            </w: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br/>
              <w:t>years</w:t>
            </w:r>
          </w:p>
        </w:tc>
        <w:tc>
          <w:tcPr>
            <w:tcW w:w="337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7B6542" w14:textId="4CEC3D6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Consolidation</w:t>
            </w:r>
            <w:r w:rsidR="00181C19"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therapy</w:t>
            </w:r>
          </w:p>
        </w:tc>
        <w:tc>
          <w:tcPr>
            <w:tcW w:w="229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E877CE" w14:textId="2DCAB1D3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CR rate (%)</w:t>
            </w:r>
          </w:p>
        </w:tc>
        <w:tc>
          <w:tcPr>
            <w:tcW w:w="183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490A15" w14:textId="5414C86A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OR rate (%)</w:t>
            </w:r>
          </w:p>
        </w:tc>
        <w:tc>
          <w:tcPr>
            <w:tcW w:w="503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147F01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 PFS</w:t>
            </w: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br/>
              <w:t>(months)</w:t>
            </w:r>
          </w:p>
        </w:tc>
        <w:tc>
          <w:tcPr>
            <w:tcW w:w="529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5905C2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Median OS</w:t>
            </w: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br/>
              <w:t>(months)</w:t>
            </w:r>
          </w:p>
        </w:tc>
        <w:tc>
          <w:tcPr>
            <w:tcW w:w="433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3EA664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Hematologic toxicity</w:t>
            </w:r>
          </w:p>
          <w:p w14:paraId="1E8205AC" w14:textId="3C595F6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(grades 3-4)</w:t>
            </w:r>
          </w:p>
        </w:tc>
        <w:tc>
          <w:tcPr>
            <w:tcW w:w="371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206BED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Febrile neutropenia</w:t>
            </w:r>
          </w:p>
          <w:p w14:paraId="5FD95822" w14:textId="4BADC48A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(grades 3-4) #</w:t>
            </w:r>
          </w:p>
        </w:tc>
        <w:tc>
          <w:tcPr>
            <w:tcW w:w="190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170611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TRM (%)</w:t>
            </w:r>
          </w:p>
        </w:tc>
        <w:tc>
          <w:tcPr>
            <w:tcW w:w="635" w:type="pct"/>
            <w:tcBorders>
              <w:top w:val="single" w:sz="18" w:space="0" w:color="auto"/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507B5C" w14:textId="77777777" w:rsidR="00FD18B4" w:rsidRPr="00A70354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7035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Conclusion</w:t>
            </w:r>
          </w:p>
        </w:tc>
      </w:tr>
      <w:tr w:rsidR="00FD18B4" w:rsidRPr="00AB5A98" w14:paraId="3B8D5493" w14:textId="77777777" w:rsidTr="006B268A">
        <w:trPr>
          <w:trHeight w:hRule="exact" w:val="558"/>
          <w:jc w:val="center"/>
        </w:trPr>
        <w:tc>
          <w:tcPr>
            <w:tcW w:w="194" w:type="pct"/>
            <w:vMerge w:val="restar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DDA21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RCT</w:t>
            </w:r>
          </w:p>
          <w:p w14:paraId="339F0CEA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BF4352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Ferreri</w:t>
            </w:r>
            <w:proofErr w:type="spellEnd"/>
          </w:p>
          <w:p w14:paraId="7F86AA94" w14:textId="4FA5372A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(2009)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4</w:t>
            </w:r>
          </w:p>
        </w:tc>
        <w:tc>
          <w:tcPr>
            <w:tcW w:w="337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4AF17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HD-MTX</w:t>
            </w:r>
          </w:p>
        </w:tc>
        <w:tc>
          <w:tcPr>
            <w:tcW w:w="337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1E4C4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40/79</w:t>
            </w:r>
          </w:p>
        </w:tc>
        <w:tc>
          <w:tcPr>
            <w:tcW w:w="336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60345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58 (27–72)</w:t>
            </w:r>
          </w:p>
        </w:tc>
        <w:tc>
          <w:tcPr>
            <w:tcW w:w="337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C5394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WBRT</w:t>
            </w:r>
          </w:p>
        </w:tc>
        <w:tc>
          <w:tcPr>
            <w:tcW w:w="229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328DA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83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709F4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503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9C14D4" w14:textId="6459BEF8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3-year: 21%</w:t>
            </w:r>
          </w:p>
        </w:tc>
        <w:tc>
          <w:tcPr>
            <w:tcW w:w="529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D7EA59" w14:textId="62000BF4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3-year: 32%</w:t>
            </w:r>
          </w:p>
        </w:tc>
        <w:tc>
          <w:tcPr>
            <w:tcW w:w="433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46304C" w14:textId="6C994310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15% N, 8% T, </w:t>
            </w:r>
          </w:p>
          <w:p w14:paraId="2DB7B6E4" w14:textId="4EAEAE2E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10% A</w:t>
            </w:r>
          </w:p>
        </w:tc>
        <w:tc>
          <w:tcPr>
            <w:tcW w:w="371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F0162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0" w:type="pc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8EC16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5" w:type="pct"/>
            <w:vMerge w:val="restart"/>
            <w:tcBorders>
              <w:top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9DF079" w14:textId="36D78401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MA improved outcome but with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increased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toxicity</w:t>
            </w:r>
          </w:p>
          <w:p w14:paraId="4D1F0EF3" w14:textId="77777777" w:rsidR="00FD18B4" w:rsidRPr="00AB5A98" w:rsidRDefault="00FD18B4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1AE52D90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37F24C24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55FD884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9023F2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63EB1E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39/79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E3B13B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 (25–74)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B6FA9B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5CFD79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18D546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5EBC9E2" w14:textId="04EFF794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3-year: 38%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1ACD477" w14:textId="04F99ABF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3-year: 46%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D2294B7" w14:textId="76B24AC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90% N, 92% T, 46% 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2AFDDB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FDA6A6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9311450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27816CDD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511A163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0693604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Ferreri</w:t>
            </w:r>
            <w:proofErr w:type="spellEnd"/>
          </w:p>
          <w:p w14:paraId="0F4A3C9B" w14:textId="547169C5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(2016)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6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E03B13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EB3746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75/210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586A92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58 (50–64)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142D6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ASCT or 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31EF2B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552C4C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352EB45" w14:textId="30EBB9BE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2-year: 36%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F1870A8" w14:textId="5E4174D4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2-year: 42%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7C155B2" w14:textId="102BDBCF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52% N, 71% T, 32% 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F01867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88FBC2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0D30E302" w14:textId="0E66E941" w:rsidR="00FD18B4" w:rsidRPr="00AB5A98" w:rsidRDefault="00332EA3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MATRix</w:t>
            </w:r>
            <w:proofErr w:type="spellEnd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had increased</w:t>
            </w:r>
            <w:r w:rsidR="00FD5A32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activ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ity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and effective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ness but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also increased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toxicity</w:t>
            </w:r>
          </w:p>
        </w:tc>
      </w:tr>
      <w:tr w:rsidR="00FD18B4" w:rsidRPr="00AB5A98" w14:paraId="5F48E73A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B3A2969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15373CA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98DF3A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R-MA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5C8736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69/219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5FF2EC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 (53–63)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9B32AC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ASCT or 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97D69B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B4C6AC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DA8B546" w14:textId="1D0F0B01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2-year: 46%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C3F10A0" w14:textId="6525D52A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2-year: 56%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CB65B34" w14:textId="776FA81C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56% N, 74% T, 36% 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D5A84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1A5126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4BF706E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0194A6B6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0ADB8FEA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42CB071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179ADE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MATRix</w:t>
            </w:r>
            <w:proofErr w:type="spellEnd"/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410478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75/219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F943DF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 (53–62)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519EA4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ASCT or 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E3C519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B1324D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878FFCF" w14:textId="1191440B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2-year: 61%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4FA6890" w14:textId="0CEC15DE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2-year: 69%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27765E7" w14:textId="580F9E25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67% N, 83% T, 5% 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98D10D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3CC756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75C0D412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6A8AFC92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3ECC4472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D6AA953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Wu</w:t>
            </w:r>
          </w:p>
          <w:p w14:paraId="3FEEA746" w14:textId="4EC80008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(2018)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15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194054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FTD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69ADD9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24/49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E32D1A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 (20–69)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EA2B70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35592C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4ED2F2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36572A" w14:textId="396E1DAD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17.4; 2-year: 37%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1BAACFD" w14:textId="3BC48F8C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48.8; 3-year: 51%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8CB5B62" w14:textId="7EC3BA5C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29% N, 25% T, 8% 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C7DA06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A7EB67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7A2B4F37" w14:textId="56D2C472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FTD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had s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imilar effect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but decreased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neutropenia</w:t>
            </w:r>
          </w:p>
        </w:tc>
      </w:tr>
      <w:tr w:rsidR="00FD18B4" w:rsidRPr="00AB5A98" w14:paraId="37D2E32E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71085629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7DE5D07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8A3B26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AFF0F1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25/49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5F3267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 (16–67)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C16C0A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FE8927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847BEF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376CEFF" w14:textId="6C7FF9AA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16.7; 2-year: 39%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FEFD35F" w14:textId="2009A9C6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44.9; 3-year: 46%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53B1A8C" w14:textId="2DC2C5D5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60%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36%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32%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776286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F9C6F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B521A97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483005CB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30622AC3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10F4685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Bromberg</w:t>
            </w:r>
          </w:p>
          <w:p w14:paraId="02112154" w14:textId="7A13004D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(2019)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12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638522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MBVP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9B49CA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100/200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0EB890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61 (56–66)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6F4351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Ara-C or 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1A4CC7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A45557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0EC7459" w14:textId="242C38FF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1-year: 58%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A384F90" w14:textId="4F936674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3-year: 61%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D1B3F35" w14:textId="64CE457B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954C71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467B53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599F1D33" w14:textId="584C7B9D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Similar effects and toxicit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ies</w:t>
            </w:r>
          </w:p>
        </w:tc>
      </w:tr>
      <w:tr w:rsidR="00FD18B4" w:rsidRPr="00AB5A98" w14:paraId="1E75EC62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755B1588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2560BFA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A163C2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R-MBVP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20F79B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99/200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6BC522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61 (55–67)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1A81CE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Ara-C or 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96A6E8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31E7D3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3B5A654" w14:textId="092F2083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1-year: 65%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ABAC312" w14:textId="6FFEF955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3-year: 58%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1364084" w14:textId="23B0377A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955A80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61BBE2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7159D60F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1EB21B11" w14:textId="77777777" w:rsidTr="006B268A">
        <w:trPr>
          <w:trHeight w:hRule="exact" w:val="482"/>
          <w:jc w:val="center"/>
        </w:trPr>
        <w:tc>
          <w:tcPr>
            <w:tcW w:w="194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2CFA2F43" w14:textId="77777777" w:rsidR="00FD18B4" w:rsidRPr="00AB5A98" w:rsidRDefault="00332EA3" w:rsidP="002451F5">
            <w:pPr>
              <w:widowControl/>
              <w:spacing w:after="0" w:line="240" w:lineRule="auto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Prospective</w:t>
            </w:r>
          </w:p>
          <w:p w14:paraId="14F3F802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E7E0FF5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Ferreri</w:t>
            </w:r>
            <w:proofErr w:type="spellEnd"/>
          </w:p>
          <w:p w14:paraId="753722C9" w14:textId="7EE9D64A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(2011)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16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F3E71B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MATh</w:t>
            </w:r>
            <w:proofErr w:type="spellEnd"/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99DDE6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20/59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869526F" w14:textId="10770310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 (42-74)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B8C377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D39244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431934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CEC02AD" w14:textId="3AA1085C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2-year: 25%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52F98A9" w14:textId="4ECA9680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2-year: 24%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576E413" w14:textId="4CFC879D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85%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0%</w:t>
            </w:r>
            <w:r w:rsidR="000479DC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D187FF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FF3445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029163E6" w14:textId="25D626C0" w:rsidR="00FD18B4" w:rsidRPr="00AB5A98" w:rsidRDefault="00332EA3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MATh</w:t>
            </w:r>
            <w:proofErr w:type="spellEnd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had decreased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activ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ity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and eff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ectiveness</w:t>
            </w:r>
          </w:p>
        </w:tc>
      </w:tr>
      <w:tr w:rsidR="00FD18B4" w:rsidRPr="00AB5A98" w14:paraId="0FE5678E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31C50A9C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F34CC53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78F7B3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6760E7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39/59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A16F61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 (25–74)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DEC26B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7967AE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2F58E6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1654F93" w14:textId="23994A13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3-year: 38%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6AA96C9" w14:textId="4ABB88D4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3-year: 46%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6D0C7D6" w14:textId="177D0343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64%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28F37B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B58E1D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BDD9D39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6544D135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EC26FE0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44AD48B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Fritsch</w:t>
            </w:r>
          </w:p>
          <w:p w14:paraId="35C8AF30" w14:textId="08446428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(2017)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17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EF5A45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R-MPL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0AEB0F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69/107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8C8BED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73 (66–85)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84E0B4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513A67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DE51C5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97DD10F" w14:textId="4C3FC312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9.6; 2-year: 39%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ACA0BFC" w14:textId="2DE0A2C8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15.4; 2-year: 46%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5358EAB" w14:textId="1DD1963E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66%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43%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42%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2AEFA7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DCB272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05A9FC68" w14:textId="072CC5DD" w:rsidR="00FD18B4" w:rsidRPr="00AB5A98" w:rsidRDefault="00332EA3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R-MPL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had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response and toxicity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but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did not increase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survival</w:t>
            </w:r>
          </w:p>
        </w:tc>
      </w:tr>
      <w:tr w:rsidR="00FD18B4" w:rsidRPr="00AB5A98" w14:paraId="703A56B9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C1ADDA2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DB56199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26E0AF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R-MP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2A689A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38/107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9FBBE2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73 (66–85)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9BAF35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4168FF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09E19D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C52843B" w14:textId="71D44B5D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11.2; 2-year: 35%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4A7A293" w14:textId="01AEE6AB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22.6; 2-year: 48%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DCD1AC6" w14:textId="2DD3CE6B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39%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088DEB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DD5FD7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5686011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55FD99B9" w14:textId="77777777" w:rsidTr="006B268A">
        <w:trPr>
          <w:trHeight w:hRule="exact" w:val="482"/>
          <w:jc w:val="center"/>
        </w:trPr>
        <w:tc>
          <w:tcPr>
            <w:tcW w:w="194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091DDC4A" w14:textId="77777777" w:rsidR="00FD18B4" w:rsidRPr="00AB5A98" w:rsidRDefault="00332EA3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Retrospective</w:t>
            </w:r>
          </w:p>
          <w:p w14:paraId="5998B7B5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2CC76C4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Wang</w:t>
            </w:r>
          </w:p>
          <w:p w14:paraId="08F51925" w14:textId="084BA275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(2014)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18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DD24F0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MT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82F587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21/41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B610C7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53.5 (18–72)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5291A0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±WBRT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4D7AF9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1773CA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65E6028" w14:textId="31A29D5D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5-year: 36%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D9BACAE" w14:textId="467BD5FF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5-year: 62.2%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32EEB86" w14:textId="17CD6FFB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0E2DD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D00CFB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332CBA8E" w14:textId="216F71DA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MT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had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similar effect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but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decreased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toxicity</w:t>
            </w:r>
          </w:p>
        </w:tc>
      </w:tr>
      <w:tr w:rsidR="00FD18B4" w:rsidRPr="00AB5A98" w14:paraId="73C7B5CD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7CFF3AA0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67905F5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BE66F5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249D5D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20/41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59E4BC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52 (34–76)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4CE495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±WBRT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8DF867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31.8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236352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61.9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4A13224" w14:textId="4B6F7EED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5-years: 32.6%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70D7248" w14:textId="0F6535EC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5-years: 46.7%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C8820CA" w14:textId="38D260D2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86%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81%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38%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D5EE96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52.4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D2D16B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5CD65D0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665D9E3C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F966020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6F27FC5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Birnbanm</w:t>
            </w:r>
            <w:proofErr w:type="spellEnd"/>
          </w:p>
          <w:p w14:paraId="301C81BB" w14:textId="61F0E4E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(2012)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19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0A9C29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MI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B9BFF8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19/36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AA635C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66 (36–78)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56B0B4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±WBRT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69CB52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68.4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4DD830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0F7E3A1" w14:textId="1D959FF4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9; 6-month: 63.2%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0E473A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NR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D0F5E71" w14:textId="10261E33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1A6C88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667B4B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238CA9DF" w14:textId="216133BD" w:rsidR="00FD18B4" w:rsidRPr="00AB5A98" w:rsidRDefault="00332EA3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R-MI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had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excellent activity but similar toxicity</w:t>
            </w:r>
          </w:p>
        </w:tc>
      </w:tr>
      <w:tr w:rsidR="00FD18B4" w:rsidRPr="00AB5A98" w14:paraId="581688D4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308C55EA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2C8BDFD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2D4D6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R-MI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700497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17/36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10FC95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66 (39–79)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5AB66A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±WBRT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B8E8F1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713CDC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DC936A2" w14:textId="1A054DA4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18; 6-month: 94.1%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B41D6A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NR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94F4FDB" w14:textId="58804DD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24%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2B77DF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4676A4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0E651D02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0D139EC0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738C0235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D3D993F" w14:textId="77777777" w:rsidR="00FD18B4" w:rsidRPr="00B54F86" w:rsidRDefault="00332EA3" w:rsidP="002451F5">
            <w:pPr>
              <w:widowControl/>
              <w:spacing w:after="0" w:line="240" w:lineRule="auto"/>
              <w:ind w:leftChars="-30" w:left="-11" w:hangingChars="26" w:hanging="52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Holdhof</w:t>
            </w:r>
            <w:proofErr w:type="spellEnd"/>
          </w:p>
          <w:p w14:paraId="1F2CF89B" w14:textId="657735E2" w:rsidR="00FD18B4" w:rsidRPr="00AB5A98" w:rsidRDefault="00332EA3" w:rsidP="002451F5">
            <w:pPr>
              <w:widowControl/>
              <w:spacing w:after="0" w:line="240" w:lineRule="auto"/>
              <w:ind w:leftChars="-30" w:left="-11" w:hangingChars="26" w:hanging="52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(2014)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B4A094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HD-MTX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253DB9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54/81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61CED8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66(32-79)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ED21A0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D3E882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2F9AD1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F710C6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4.5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EF7056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16.3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597C6E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B5FDA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2D1E8C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79DC220F" w14:textId="4D3712F6" w:rsidR="00FD18B4" w:rsidRPr="00AB5A98" w:rsidRDefault="00332EA3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R-M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had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better effect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but similar toxicity</w:t>
            </w:r>
          </w:p>
        </w:tc>
      </w:tr>
      <w:tr w:rsidR="00FD18B4" w:rsidRPr="00AB5A98" w14:paraId="0A6D4A4A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4BDE49F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3F87C6E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ECA6B8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68C765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27/81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5A4759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65(44-85)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14106F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6B5002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8D4C55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5A48D4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26.7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4CCA66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NR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17729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093C9C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0B160C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FDA07E3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46BB830B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DC79C8D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DCD9263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Kansara</w:t>
            </w:r>
            <w:proofErr w:type="spellEnd"/>
          </w:p>
          <w:p w14:paraId="2275862E" w14:textId="244BED5C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(2015)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3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1A95E9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HD-MTX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99F86F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49/74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808F0E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62 (18–80)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0F3CA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5962E2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D7662F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1BE9549" w14:textId="54DF49BF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5-year: 17%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771F446" w14:textId="151D112F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5-year: 38%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9B50AB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1687D1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093FC8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384B95B8" w14:textId="513CFCF6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Similar effect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and toxicity</w:t>
            </w:r>
          </w:p>
        </w:tc>
      </w:tr>
      <w:tr w:rsidR="00FD18B4" w:rsidRPr="00AB5A98" w14:paraId="0596FBFD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29F169D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C3341CD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5703B3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D9CED2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25/74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843874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58 (29–74)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1AA786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No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3D9E2A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8DA103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0ABFF9F" w14:textId="1729080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5-year: 30%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17A25B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5-year-62%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606BF9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BF0F9C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6ABB6D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549224B4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3956C269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0C4DD049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03C3CEA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Mocikova</w:t>
            </w:r>
            <w:proofErr w:type="spellEnd"/>
          </w:p>
          <w:p w14:paraId="41F99FEB" w14:textId="5A0AC440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(2016) 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20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078DC1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MPV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79FBFB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119/164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68A77C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62 (31–79)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92275F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WBRT+Ara-C</w:t>
            </w:r>
            <w:proofErr w:type="spellEnd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*2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A139E8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DB5842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79C71B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10.9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7C42CC3" w14:textId="1C25A0C1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18.9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BF60B2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42.1%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916E0F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35.4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DC118A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43DABB78" w14:textId="687E0A6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R-MPV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had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improved PFS but not OS</w:t>
            </w:r>
          </w:p>
        </w:tc>
      </w:tr>
      <w:tr w:rsidR="00FD18B4" w:rsidRPr="00AB5A98" w14:paraId="1558DD5A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506D0B7D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25E8FFB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0C6544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R-MPV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39C9F5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49/164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A9A5C4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65 (38–78)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ED361BE" w14:textId="46620808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WBRT+Ara-C</w:t>
            </w:r>
            <w:proofErr w:type="spellEnd"/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*2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E598E3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CB1A5C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63290C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22.9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CE9CE89" w14:textId="39DAE2FD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28.6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0A50AF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42.1%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6A1FA6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35.4%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F10DB8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4C28443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36B9E402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0D308576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97CC973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Houillier</w:t>
            </w:r>
          </w:p>
          <w:p w14:paraId="6349027D" w14:textId="75A9338E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(2017)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21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2F15AB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R-MVP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031E82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39/90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5A34F6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529CDD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Ara-C*3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FCBBB1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5D4CAA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F6F411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A20A95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37.1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20DE306" w14:textId="6A970452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68%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9CB244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13BECD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52F90822" w14:textId="27C0B1C1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R-MVP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had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higher ORR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but similar survival</w:t>
            </w:r>
          </w:p>
        </w:tc>
      </w:tr>
      <w:tr w:rsidR="00FD18B4" w:rsidRPr="00AB5A98" w14:paraId="1289C73C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46CEA89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16E3A06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CB4D11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MVP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FC75D0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51/90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E492D4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85A3B1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HD-Ara-C*3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899630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F77F70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84D97D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9.7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3C634E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5E90F37" w14:textId="76E0E24A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44%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49%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8F95D9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1873A1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3BCBBFCC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587D90E3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AAD0ABC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B81A224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Sun</w:t>
            </w:r>
          </w:p>
          <w:p w14:paraId="673622BB" w14:textId="6375B210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(2017)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8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2DF504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R-MAD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C168BC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36/60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7FE2E89" w14:textId="31944EB2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 (11-83)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D4C0960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Pemetrexed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91065E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522AB2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E0C0B1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F1380F3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NR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A46B84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6185901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F1B53B5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26670027" w14:textId="3107952E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R-MAD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had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higher CRR and survival</w:t>
            </w:r>
          </w:p>
        </w:tc>
      </w:tr>
      <w:tr w:rsidR="00FD18B4" w:rsidRPr="00AB5A98" w14:paraId="46815571" w14:textId="77777777" w:rsidTr="006B268A">
        <w:trPr>
          <w:trHeight w:hRule="exact" w:val="317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42C418F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0DBF6C6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196CC04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MAD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11D973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24/60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73FB436" w14:textId="219BDB28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 (11-83)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1F1462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Pemetrexed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01DD58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396A50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5467C8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C23FF3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C03A9D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3977F7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602A4D8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7E7AC26A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18B4" w:rsidRPr="00AB5A98" w14:paraId="2B0E5090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AB7B07B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3FA561F" w14:textId="77777777" w:rsidR="00FD18B4" w:rsidRPr="00B54F86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Chen</w:t>
            </w:r>
          </w:p>
          <w:p w14:paraId="55C6AB44" w14:textId="5E56E8A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4F8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(2019)</w:t>
            </w:r>
            <w:r w:rsidR="00632467" w:rsidRPr="00632467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1A53EE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MT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B6AC64F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30/62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A46ACD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53.5 (29</w:t>
            </w:r>
            <w:r w:rsidRPr="00AB5A9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‐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77)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461ED4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ASCT or 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BD7AA1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27.6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BA4CECE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C9E933F" w14:textId="22153A4B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25.3; 5-year: 29.1%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A83ACA1" w14:textId="38A61A76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NR; 5-year: 50%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882870A" w14:textId="129FBDAB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26.7%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283495A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6.7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1A1B672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43E10875" w14:textId="3AACE7C4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R-MT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had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increased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effects but similar toxicity</w:t>
            </w:r>
          </w:p>
        </w:tc>
      </w:tr>
      <w:tr w:rsidR="00FD18B4" w:rsidRPr="00AB5A98" w14:paraId="207F6115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5F3578E8" w14:textId="77777777" w:rsidR="00FD18B4" w:rsidRPr="00AB5A98" w:rsidRDefault="00FD18B4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16C38E5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4FCF702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R-MT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40E3C2B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32/62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12719B6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53.5 (29</w:t>
            </w:r>
            <w:r w:rsidRPr="00AB5A9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‐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77)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41217A9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ASCT or 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5227F3D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53.2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77846F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93.7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C482D1A" w14:textId="4C19AED8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NR; 5-year: 53.3%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7F72C84" w14:textId="39A650AA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NR; 5-year: 82.3%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D7F31AC" w14:textId="3C715450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T,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22%</w:t>
            </w:r>
            <w:r w:rsidR="00AA5499"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3A153C7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9.4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F17A6EC" w14:textId="77777777" w:rsidR="00FD18B4" w:rsidRPr="00AB5A98" w:rsidRDefault="00332EA3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96B9D54" w14:textId="77777777" w:rsidR="00FD18B4" w:rsidRPr="00AB5A98" w:rsidRDefault="00FD18B4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A694B" w:rsidRPr="00AB5A98" w14:paraId="2AEA1FA3" w14:textId="77777777" w:rsidTr="006B268A">
        <w:trPr>
          <w:trHeight w:hRule="exact" w:val="604"/>
          <w:jc w:val="center"/>
        </w:trPr>
        <w:tc>
          <w:tcPr>
            <w:tcW w:w="194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191F6B14" w14:textId="77777777" w:rsidR="00BA694B" w:rsidRPr="00AB5A98" w:rsidRDefault="00BA694B" w:rsidP="002451F5">
            <w:pPr>
              <w:widowControl/>
              <w:spacing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Retrospective</w:t>
            </w:r>
          </w:p>
          <w:p w14:paraId="3749FFC0" w14:textId="77777777" w:rsidR="00BA694B" w:rsidRPr="00AB5A98" w:rsidRDefault="00BA694B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CE530AF" w14:textId="045D7E6D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Current study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F896B6F" w14:textId="36ED39C5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R-MA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5EB7491" w14:textId="0A87D2C6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14/51</w:t>
            </w:r>
          </w:p>
        </w:tc>
        <w:tc>
          <w:tcPr>
            <w:tcW w:w="3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4E3A03D" w14:textId="7A3DA3FD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 (41-64)</w:t>
            </w:r>
          </w:p>
        </w:tc>
        <w:tc>
          <w:tcPr>
            <w:tcW w:w="33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B871B87" w14:textId="2161C5CE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±WBRT</w:t>
            </w:r>
          </w:p>
        </w:tc>
        <w:tc>
          <w:tcPr>
            <w:tcW w:w="2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937DBF1" w14:textId="53CD0334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35.7</w:t>
            </w:r>
          </w:p>
        </w:tc>
        <w:tc>
          <w:tcPr>
            <w:tcW w:w="18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EFD747B" w14:textId="67F2124D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.0</w:t>
            </w:r>
          </w:p>
        </w:tc>
        <w:tc>
          <w:tcPr>
            <w:tcW w:w="50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C6A7AE9" w14:textId="54CC0DF5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27.5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; 2-year: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42.9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%</w:t>
            </w:r>
          </w:p>
        </w:tc>
        <w:tc>
          <w:tcPr>
            <w:tcW w:w="529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BFA0985" w14:textId="45046DA4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NR; 3-year: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51.9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%</w:t>
            </w:r>
          </w:p>
        </w:tc>
        <w:tc>
          <w:tcPr>
            <w:tcW w:w="433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CB83126" w14:textId="4C719894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59% N, 59% T, 23% A</w:t>
            </w:r>
          </w:p>
        </w:tc>
        <w:tc>
          <w:tcPr>
            <w:tcW w:w="37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14258F2" w14:textId="76161A8B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90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095B0319" w14:textId="6A8D11BD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03929EFE" w14:textId="49C5F2AD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R-MA had similar effects but more toxicity</w:t>
            </w:r>
          </w:p>
        </w:tc>
      </w:tr>
      <w:tr w:rsidR="00BA694B" w:rsidRPr="00AB5A98" w14:paraId="08D5C61E" w14:textId="77777777" w:rsidTr="006B268A">
        <w:trPr>
          <w:trHeight w:hRule="exact" w:val="482"/>
          <w:jc w:val="center"/>
        </w:trPr>
        <w:tc>
          <w:tcPr>
            <w:tcW w:w="194" w:type="pct"/>
            <w:vMerge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CC6DE1" w14:textId="77777777" w:rsidR="00BA694B" w:rsidRPr="00AB5A98" w:rsidRDefault="00BA694B" w:rsidP="002451F5">
            <w:pPr>
              <w:widowControl/>
              <w:spacing w:after="0" w:line="240" w:lineRule="auto"/>
              <w:jc w:val="left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86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A03D63" w14:textId="77777777" w:rsidR="00BA694B" w:rsidRPr="00AB5A98" w:rsidRDefault="00BA694B" w:rsidP="002451F5">
            <w:pPr>
              <w:spacing w:after="0"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7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5FC120" w14:textId="14B5609D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R-M</w:t>
            </w:r>
          </w:p>
        </w:tc>
        <w:tc>
          <w:tcPr>
            <w:tcW w:w="337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80D15F" w14:textId="21A6CB58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37/51</w:t>
            </w:r>
          </w:p>
        </w:tc>
        <w:tc>
          <w:tcPr>
            <w:tcW w:w="336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ED272A" w14:textId="50425EA1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62 (27-80)</w:t>
            </w:r>
          </w:p>
        </w:tc>
        <w:tc>
          <w:tcPr>
            <w:tcW w:w="337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04679F" w14:textId="19D86BAF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±WBRT</w:t>
            </w:r>
          </w:p>
        </w:tc>
        <w:tc>
          <w:tcPr>
            <w:tcW w:w="229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A083825" w14:textId="25A807C5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54.1</w:t>
            </w:r>
          </w:p>
        </w:tc>
        <w:tc>
          <w:tcPr>
            <w:tcW w:w="183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5EC72B" w14:textId="1597844D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5.7</w:t>
            </w:r>
          </w:p>
        </w:tc>
        <w:tc>
          <w:tcPr>
            <w:tcW w:w="503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0BB3C3" w14:textId="579E835F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30.0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; 2-year: 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6.6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%</w:t>
            </w:r>
          </w:p>
        </w:tc>
        <w:tc>
          <w:tcPr>
            <w:tcW w:w="529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FBEBF9" w14:textId="0AB14CBB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NR; 3-year: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54.4</w:t>
            </w: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%</w:t>
            </w:r>
          </w:p>
        </w:tc>
        <w:tc>
          <w:tcPr>
            <w:tcW w:w="433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C3DB2F" w14:textId="01DF7822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3% N, 3% T, 1% A</w:t>
            </w:r>
          </w:p>
        </w:tc>
        <w:tc>
          <w:tcPr>
            <w:tcW w:w="371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3BC9063" w14:textId="0F3A600F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90" w:type="pct"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FBF89D" w14:textId="5459AA1D" w:rsidR="00BA694B" w:rsidRPr="00AB5A98" w:rsidRDefault="00BA694B" w:rsidP="002451F5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5A98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635" w:type="pct"/>
            <w:vMerge/>
            <w:tcBorders>
              <w:bottom w:val="single" w:sz="1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7D5FEC" w14:textId="77777777" w:rsidR="00BA694B" w:rsidRPr="00AB5A98" w:rsidRDefault="00BA694B" w:rsidP="002451F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14:paraId="0C1E173D" w14:textId="4E3BE9EB" w:rsidR="00FD18B4" w:rsidRPr="00414727" w:rsidRDefault="00332EA3">
      <w:pPr>
        <w:widowControl/>
        <w:spacing w:line="360" w:lineRule="auto"/>
        <w:rPr>
          <w:rFonts w:ascii="Times New Roman" w:hAnsi="Times New Roman"/>
          <w:color w:val="000000"/>
          <w:kern w:val="0"/>
          <w:sz w:val="22"/>
          <w:szCs w:val="22"/>
          <w:lang w:bidi="ar"/>
        </w:rPr>
      </w:pPr>
      <w:r w:rsidRPr="00414727">
        <w:rPr>
          <w:rFonts w:ascii="Times New Roman" w:hAnsi="Times New Roman"/>
          <w:b/>
          <w:bCs/>
          <w:sz w:val="22"/>
          <w:szCs w:val="22"/>
        </w:rPr>
        <w:lastRenderedPageBreak/>
        <w:t>Notes:</w:t>
      </w:r>
      <w:r w:rsidRPr="00414727">
        <w:rPr>
          <w:rFonts w:ascii="Times New Roman" w:hAnsi="Times New Roman"/>
          <w:sz w:val="22"/>
          <w:szCs w:val="22"/>
        </w:rPr>
        <w:t xml:space="preserve"> NR: not reac</w:t>
      </w:r>
      <w:bookmarkStart w:id="0" w:name="_GoBack"/>
      <w:bookmarkEnd w:id="0"/>
      <w:r w:rsidRPr="00414727">
        <w:rPr>
          <w:rFonts w:ascii="Times New Roman" w:hAnsi="Times New Roman"/>
          <w:sz w:val="22"/>
          <w:szCs w:val="22"/>
        </w:rPr>
        <w:t>hed;/: not mentioned; #:</w:t>
      </w:r>
      <w:r w:rsidRPr="00414727">
        <w:rPr>
          <w:rFonts w:ascii="Times New Roman" w:hAnsi="Times New Roman"/>
          <w:color w:val="000000"/>
          <w:kern w:val="0"/>
          <w:sz w:val="22"/>
          <w:szCs w:val="22"/>
          <w:lang w:bidi="ar"/>
        </w:rPr>
        <w:t xml:space="preserve"> N=neutropenia, T=thrombocytopenia, A=anemia.</w:t>
      </w:r>
    </w:p>
    <w:p w14:paraId="796E2452" w14:textId="5711DD8B" w:rsidR="00FD18B4" w:rsidRPr="00414727" w:rsidRDefault="00332EA3">
      <w:pPr>
        <w:widowControl/>
        <w:spacing w:line="360" w:lineRule="auto"/>
        <w:rPr>
          <w:rFonts w:ascii="Times New Roman" w:hAnsi="Times New Roman"/>
          <w:sz w:val="22"/>
          <w:szCs w:val="22"/>
        </w:rPr>
      </w:pPr>
      <w:r w:rsidRPr="00414727">
        <w:rPr>
          <w:rFonts w:ascii="Times New Roman" w:hAnsi="Times New Roman"/>
          <w:sz w:val="22"/>
          <w:szCs w:val="22"/>
        </w:rPr>
        <w:t>Ara-C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cytarabine; CR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complete response; FTD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proofErr w:type="spellStart"/>
      <w:r w:rsidRPr="00414727">
        <w:rPr>
          <w:rFonts w:ascii="Times New Roman" w:hAnsi="Times New Roman"/>
          <w:sz w:val="22"/>
          <w:szCs w:val="22"/>
        </w:rPr>
        <w:t>fotemustine</w:t>
      </w:r>
      <w:proofErr w:type="spellEnd"/>
      <w:r w:rsidRPr="00414727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414727">
        <w:rPr>
          <w:rFonts w:ascii="Times New Roman" w:hAnsi="Times New Roman"/>
          <w:sz w:val="22"/>
          <w:szCs w:val="22"/>
        </w:rPr>
        <w:t>teniposide</w:t>
      </w:r>
      <w:proofErr w:type="spellEnd"/>
      <w:r w:rsidRPr="00414727">
        <w:rPr>
          <w:rFonts w:ascii="Times New Roman" w:hAnsi="Times New Roman"/>
          <w:sz w:val="22"/>
          <w:szCs w:val="22"/>
        </w:rPr>
        <w:t xml:space="preserve"> and dexamethasone; HD-MTX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high-dose methotrexate; MA: methotrexate and cytarabine; MAD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 xml:space="preserve">methotrexate, cytarabine and dexamethasone; </w:t>
      </w:r>
      <w:proofErr w:type="spellStart"/>
      <w:r w:rsidRPr="00414727">
        <w:rPr>
          <w:rFonts w:ascii="Times New Roman" w:hAnsi="Times New Roman"/>
          <w:sz w:val="22"/>
          <w:szCs w:val="22"/>
        </w:rPr>
        <w:t>MATh</w:t>
      </w:r>
      <w:proofErr w:type="spellEnd"/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 xml:space="preserve">methotrexate, cytarabine and </w:t>
      </w:r>
      <w:proofErr w:type="spellStart"/>
      <w:r w:rsidRPr="00414727">
        <w:rPr>
          <w:rFonts w:ascii="Times New Roman" w:hAnsi="Times New Roman"/>
          <w:sz w:val="22"/>
          <w:szCs w:val="22"/>
        </w:rPr>
        <w:t>teniposide</w:t>
      </w:r>
      <w:proofErr w:type="spellEnd"/>
      <w:r w:rsidRPr="00414727">
        <w:rPr>
          <w:rFonts w:ascii="Times New Roman" w:hAnsi="Times New Roman"/>
          <w:sz w:val="22"/>
          <w:szCs w:val="22"/>
        </w:rPr>
        <w:t xml:space="preserve">; </w:t>
      </w:r>
      <w:proofErr w:type="spellStart"/>
      <w:r w:rsidRPr="00414727">
        <w:rPr>
          <w:rFonts w:ascii="Times New Roman" w:hAnsi="Times New Roman"/>
          <w:sz w:val="22"/>
          <w:szCs w:val="22"/>
        </w:rPr>
        <w:t>MATRix</w:t>
      </w:r>
      <w:proofErr w:type="spellEnd"/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 xml:space="preserve">methotrexate, cytarabine, </w:t>
      </w:r>
      <w:proofErr w:type="spellStart"/>
      <w:r w:rsidRPr="00414727">
        <w:rPr>
          <w:rFonts w:ascii="Times New Roman" w:hAnsi="Times New Roman"/>
          <w:sz w:val="22"/>
          <w:szCs w:val="22"/>
        </w:rPr>
        <w:t>teniposide</w:t>
      </w:r>
      <w:proofErr w:type="spellEnd"/>
      <w:r w:rsidRPr="00414727">
        <w:rPr>
          <w:rFonts w:ascii="Times New Roman" w:hAnsi="Times New Roman"/>
          <w:sz w:val="22"/>
          <w:szCs w:val="22"/>
        </w:rPr>
        <w:t xml:space="preserve"> and rituximab; MBVP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 xml:space="preserve">methotrexate, </w:t>
      </w:r>
      <w:proofErr w:type="spellStart"/>
      <w:r w:rsidRPr="00414727">
        <w:rPr>
          <w:rFonts w:ascii="Times New Roman" w:hAnsi="Times New Roman"/>
          <w:sz w:val="22"/>
          <w:szCs w:val="22"/>
        </w:rPr>
        <w:t>carmustine</w:t>
      </w:r>
      <w:proofErr w:type="spellEnd"/>
      <w:r w:rsidRPr="00414727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Pr="00414727">
        <w:rPr>
          <w:rFonts w:ascii="Times New Roman" w:hAnsi="Times New Roman"/>
          <w:sz w:val="22"/>
          <w:szCs w:val="22"/>
        </w:rPr>
        <w:t>teniposide</w:t>
      </w:r>
      <w:proofErr w:type="spellEnd"/>
      <w:r w:rsidRPr="00414727">
        <w:rPr>
          <w:rFonts w:ascii="Times New Roman" w:hAnsi="Times New Roman"/>
          <w:sz w:val="22"/>
          <w:szCs w:val="22"/>
        </w:rPr>
        <w:t>, and prednisone; MI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 xml:space="preserve">methotrexate and </w:t>
      </w:r>
      <w:proofErr w:type="spellStart"/>
      <w:r w:rsidRPr="00414727">
        <w:rPr>
          <w:rFonts w:ascii="Times New Roman" w:hAnsi="Times New Roman"/>
          <w:sz w:val="22"/>
          <w:szCs w:val="22"/>
        </w:rPr>
        <w:t>ifosfamide</w:t>
      </w:r>
      <w:proofErr w:type="spellEnd"/>
      <w:r w:rsidRPr="00414727">
        <w:rPr>
          <w:rFonts w:ascii="Times New Roman" w:hAnsi="Times New Roman"/>
          <w:sz w:val="22"/>
          <w:szCs w:val="22"/>
        </w:rPr>
        <w:t>; MPL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rituximab, methotrexate,</w:t>
      </w:r>
      <w:r w:rsidRPr="00414727">
        <w:rPr>
          <w:rFonts w:ascii="Times New Roman" w:eastAsia="Segoe UI" w:hAnsi="Times New Roman"/>
          <w:sz w:val="22"/>
          <w:szCs w:val="22"/>
        </w:rPr>
        <w:t xml:space="preserve"> procarbazine and </w:t>
      </w:r>
      <w:proofErr w:type="spellStart"/>
      <w:r w:rsidRPr="00414727">
        <w:rPr>
          <w:rFonts w:ascii="Times New Roman" w:eastAsia="Segoe UI" w:hAnsi="Times New Roman"/>
          <w:sz w:val="22"/>
          <w:szCs w:val="22"/>
        </w:rPr>
        <w:t>lomustine</w:t>
      </w:r>
      <w:proofErr w:type="spellEnd"/>
      <w:r w:rsidRPr="00414727">
        <w:rPr>
          <w:rFonts w:ascii="Times New Roman" w:hAnsi="Times New Roman"/>
          <w:sz w:val="22"/>
          <w:szCs w:val="22"/>
        </w:rPr>
        <w:t>; MPV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methotrexate, procarbazine</w:t>
      </w:r>
      <w:r w:rsidRPr="00414727">
        <w:rPr>
          <w:rFonts w:ascii="Times New Roman" w:hAnsi="Times New Roman"/>
          <w:kern w:val="0"/>
          <w:sz w:val="22"/>
          <w:szCs w:val="22"/>
          <w:lang w:bidi="ar"/>
        </w:rPr>
        <w:t xml:space="preserve"> and </w:t>
      </w:r>
      <w:r w:rsidRPr="00414727">
        <w:rPr>
          <w:rFonts w:ascii="Times New Roman" w:hAnsi="Times New Roman"/>
          <w:sz w:val="22"/>
          <w:szCs w:val="22"/>
        </w:rPr>
        <w:t>vincristine; MT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methotrexate and temozolomide; OR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overall response; OS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overall survival; PFS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progression-free survival; R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 xml:space="preserve">rituximab; </w:t>
      </w:r>
      <w:r w:rsidRPr="00414727">
        <w:rPr>
          <w:rFonts w:ascii="Times New Roman" w:eastAsia="STIX-Italic" w:hAnsi="Times New Roman"/>
          <w:iCs/>
          <w:kern w:val="0"/>
          <w:sz w:val="22"/>
          <w:szCs w:val="22"/>
          <w:lang w:bidi="ar"/>
        </w:rPr>
        <w:t>RCT</w:t>
      </w:r>
      <w:r w:rsidR="003479FC" w:rsidRPr="00414727">
        <w:rPr>
          <w:rFonts w:ascii="Times New Roman" w:eastAsia="STIX-Italic" w:hAnsi="Times New Roman"/>
          <w:iCs/>
          <w:kern w:val="0"/>
          <w:sz w:val="22"/>
          <w:szCs w:val="22"/>
          <w:lang w:bidi="ar"/>
        </w:rPr>
        <w:t xml:space="preserve">: </w:t>
      </w:r>
      <w:r w:rsidRPr="00414727">
        <w:rPr>
          <w:rFonts w:ascii="Times New Roman" w:eastAsia="STIX-Regular" w:hAnsi="Times New Roman"/>
          <w:kern w:val="0"/>
          <w:sz w:val="22"/>
          <w:szCs w:val="22"/>
          <w:lang w:bidi="ar"/>
        </w:rPr>
        <w:t>randomized clinical trial;</w:t>
      </w:r>
      <w:r w:rsidRPr="00414727">
        <w:rPr>
          <w:rFonts w:ascii="Times New Roman" w:hAnsi="Times New Roman"/>
          <w:sz w:val="22"/>
          <w:szCs w:val="22"/>
        </w:rPr>
        <w:t xml:space="preserve"> R-M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rituximab and methotrexate; TRM</w:t>
      </w:r>
      <w:r w:rsidR="003479FC" w:rsidRPr="00414727">
        <w:rPr>
          <w:rFonts w:ascii="Times New Roman" w:hAnsi="Times New Roman"/>
          <w:sz w:val="22"/>
          <w:szCs w:val="22"/>
        </w:rPr>
        <w:t xml:space="preserve">: </w:t>
      </w:r>
      <w:r w:rsidRPr="00414727">
        <w:rPr>
          <w:rFonts w:ascii="Times New Roman" w:hAnsi="Times New Roman"/>
          <w:sz w:val="22"/>
          <w:szCs w:val="22"/>
        </w:rPr>
        <w:t>treatment-related mortality; WBRT</w:t>
      </w:r>
      <w:r w:rsidR="003479FC" w:rsidRPr="00414727">
        <w:rPr>
          <w:rFonts w:ascii="Times New Roman" w:hAnsi="Times New Roman"/>
          <w:sz w:val="22"/>
          <w:szCs w:val="22"/>
        </w:rPr>
        <w:t>:</w:t>
      </w:r>
      <w:r w:rsidR="00FD5A32" w:rsidRPr="00414727">
        <w:rPr>
          <w:rFonts w:ascii="Times New Roman" w:hAnsi="Times New Roman"/>
          <w:sz w:val="22"/>
          <w:szCs w:val="22"/>
        </w:rPr>
        <w:t xml:space="preserve"> </w:t>
      </w:r>
      <w:r w:rsidRPr="00414727">
        <w:rPr>
          <w:rFonts w:ascii="Times New Roman" w:hAnsi="Times New Roman"/>
          <w:sz w:val="22"/>
          <w:szCs w:val="22"/>
        </w:rPr>
        <w:t xml:space="preserve">whole-brain </w:t>
      </w:r>
      <w:r w:rsidR="003479FC" w:rsidRPr="00414727">
        <w:rPr>
          <w:rFonts w:ascii="Times New Roman" w:hAnsi="Times New Roman"/>
          <w:sz w:val="22"/>
          <w:szCs w:val="22"/>
        </w:rPr>
        <w:t xml:space="preserve">radiation </w:t>
      </w:r>
      <w:r w:rsidRPr="00414727">
        <w:rPr>
          <w:rFonts w:ascii="Times New Roman" w:hAnsi="Times New Roman"/>
          <w:sz w:val="22"/>
          <w:szCs w:val="22"/>
        </w:rPr>
        <w:t>therapy.</w:t>
      </w:r>
    </w:p>
    <w:p w14:paraId="11746197" w14:textId="77777777" w:rsidR="00FD18B4" w:rsidRPr="00AB5A98" w:rsidRDefault="00FD18B4">
      <w:pPr>
        <w:pStyle w:val="EndNoteBibliography0"/>
        <w:spacing w:line="360" w:lineRule="auto"/>
        <w:rPr>
          <w:rFonts w:ascii="Times New Roman" w:hAnsi="Times New Roman" w:cs="Times New Roman"/>
          <w:sz w:val="24"/>
        </w:rPr>
      </w:pPr>
    </w:p>
    <w:sectPr w:rsidR="00FD18B4" w:rsidRPr="00AB5A98">
      <w:pgSz w:w="16838" w:h="11906" w:orient="landscape"/>
      <w:pgMar w:top="1797" w:right="1440" w:bottom="1797" w:left="1440" w:header="851" w:footer="992" w:gutter="0"/>
      <w:cols w:space="720"/>
      <w:docGrid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3BF34E" w16cex:dateUtc="2020-10-22T17:0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4A8F2E" w14:textId="77777777" w:rsidR="00DB03B9" w:rsidRDefault="00DB03B9" w:rsidP="00BA694B">
      <w:pPr>
        <w:spacing w:after="0" w:line="240" w:lineRule="auto"/>
      </w:pPr>
      <w:r>
        <w:separator/>
      </w:r>
    </w:p>
  </w:endnote>
  <w:endnote w:type="continuationSeparator" w:id="0">
    <w:p w14:paraId="1070BF96" w14:textId="77777777" w:rsidR="00DB03B9" w:rsidRDefault="00DB03B9" w:rsidP="00BA6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dvOT21de431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TIX-Italic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TIX-Regular">
    <w:altName w:val="Segoe Print"/>
    <w:charset w:val="00"/>
    <w:family w:val="auto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AD24BF" w14:textId="77777777" w:rsidR="00DB03B9" w:rsidRDefault="00DB03B9" w:rsidP="00BA694B">
      <w:pPr>
        <w:spacing w:after="0" w:line="240" w:lineRule="auto"/>
      </w:pPr>
      <w:r>
        <w:separator/>
      </w:r>
    </w:p>
  </w:footnote>
  <w:footnote w:type="continuationSeparator" w:id="0">
    <w:p w14:paraId="6EB55861" w14:textId="77777777" w:rsidR="00DB03B9" w:rsidRDefault="00DB03B9" w:rsidP="00BA69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7013F"/>
    <w:rsid w:val="000479DC"/>
    <w:rsid w:val="00077651"/>
    <w:rsid w:val="00127D05"/>
    <w:rsid w:val="001553E4"/>
    <w:rsid w:val="00181C19"/>
    <w:rsid w:val="002451F5"/>
    <w:rsid w:val="00332EA3"/>
    <w:rsid w:val="00344431"/>
    <w:rsid w:val="003479FC"/>
    <w:rsid w:val="003D4648"/>
    <w:rsid w:val="004042E3"/>
    <w:rsid w:val="00414727"/>
    <w:rsid w:val="00471754"/>
    <w:rsid w:val="00632467"/>
    <w:rsid w:val="00653D83"/>
    <w:rsid w:val="00662191"/>
    <w:rsid w:val="006B268A"/>
    <w:rsid w:val="006D4850"/>
    <w:rsid w:val="0077013F"/>
    <w:rsid w:val="007C3F6B"/>
    <w:rsid w:val="007E21EC"/>
    <w:rsid w:val="00811424"/>
    <w:rsid w:val="00847635"/>
    <w:rsid w:val="00991125"/>
    <w:rsid w:val="009D6DF2"/>
    <w:rsid w:val="00A12468"/>
    <w:rsid w:val="00A70354"/>
    <w:rsid w:val="00A75029"/>
    <w:rsid w:val="00AA5499"/>
    <w:rsid w:val="00AB5A98"/>
    <w:rsid w:val="00AC1CC6"/>
    <w:rsid w:val="00B17492"/>
    <w:rsid w:val="00B54F86"/>
    <w:rsid w:val="00B75A76"/>
    <w:rsid w:val="00BA694B"/>
    <w:rsid w:val="00C04A89"/>
    <w:rsid w:val="00D0025A"/>
    <w:rsid w:val="00DB03B9"/>
    <w:rsid w:val="00E6720A"/>
    <w:rsid w:val="00E96ADD"/>
    <w:rsid w:val="00F32B9A"/>
    <w:rsid w:val="00FD18B4"/>
    <w:rsid w:val="00FD5A32"/>
    <w:rsid w:val="404D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84309E"/>
  <w15:docId w15:val="{17D8B375-BC29-44FA-B5E2-4B53E1B74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uiPriority="0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uiPriority="0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eastAsia="zh-CN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0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等线 Light" w:eastAsia="黑体" w:hAnsi="等线 Light"/>
      <w:sz w:val="20"/>
      <w:szCs w:val="2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</w:rPr>
  </w:style>
  <w:style w:type="character" w:styleId="ab">
    <w:name w:val="FollowedHyperlink"/>
    <w:rPr>
      <w:color w:val="771CAA"/>
      <w:u w:val="single"/>
    </w:rPr>
  </w:style>
  <w:style w:type="character" w:styleId="ac">
    <w:name w:val="Emphasis"/>
    <w:uiPriority w:val="20"/>
    <w:qFormat/>
    <w:rPr>
      <w:color w:val="CC0000"/>
    </w:rPr>
  </w:style>
  <w:style w:type="character" w:styleId="ad">
    <w:name w:val="Hyperlink"/>
    <w:rPr>
      <w:color w:val="2440B3"/>
      <w:u w:val="single"/>
    </w:rPr>
  </w:style>
  <w:style w:type="character" w:styleId="HTML">
    <w:name w:val="HTML Cite"/>
    <w:rPr>
      <w:color w:val="008000"/>
    </w:rPr>
  </w:style>
  <w:style w:type="character" w:customStyle="1" w:styleId="10">
    <w:name w:val="标题 1 字符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0">
    <w:name w:val="标题 3 字符"/>
    <w:basedOn w:val="a0"/>
    <w:link w:val="3"/>
    <w:qFormat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EndNoteBibliographyTitle">
    <w:name w:val="EndNote Bibliography Title 字符"/>
    <w:link w:val="EndNoteBibliographyTitle0"/>
    <w:rPr>
      <w:rFonts w:ascii="Calibri" w:hAnsi="Calibri"/>
      <w:szCs w:val="24"/>
      <w:lang w:val="en-US" w:eastAsia="zh-CN"/>
    </w:rPr>
  </w:style>
  <w:style w:type="paragraph" w:customStyle="1" w:styleId="EndNoteBibliographyTitle0">
    <w:name w:val="EndNote Bibliography Title"/>
    <w:basedOn w:val="a"/>
    <w:link w:val="EndNoteBibliographyTitle"/>
    <w:pPr>
      <w:jc w:val="center"/>
    </w:pPr>
    <w:rPr>
      <w:rFonts w:eastAsiaTheme="minorEastAsia" w:cstheme="minorBidi"/>
    </w:rPr>
  </w:style>
  <w:style w:type="character" w:customStyle="1" w:styleId="hover23">
    <w:name w:val="hover23"/>
    <w:basedOn w:val="a0"/>
    <w:qFormat/>
  </w:style>
  <w:style w:type="character" w:customStyle="1" w:styleId="EndNoteBibliography">
    <w:name w:val="EndNote Bibliography 字符"/>
    <w:link w:val="EndNoteBibliography0"/>
    <w:qFormat/>
    <w:rPr>
      <w:rFonts w:ascii="Calibri" w:hAnsi="Calibri"/>
      <w:szCs w:val="24"/>
      <w:lang w:val="en-US" w:eastAsia="zh-CN"/>
    </w:rPr>
  </w:style>
  <w:style w:type="paragraph" w:customStyle="1" w:styleId="EndNoteBibliography0">
    <w:name w:val="EndNote Bibliography"/>
    <w:basedOn w:val="a"/>
    <w:link w:val="EndNoteBibliography"/>
    <w:rPr>
      <w:rFonts w:eastAsiaTheme="minorEastAsia" w:cstheme="minorBidi"/>
    </w:rPr>
  </w:style>
  <w:style w:type="character" w:customStyle="1" w:styleId="c-icon28">
    <w:name w:val="c-icon28"/>
    <w:basedOn w:val="a0"/>
  </w:style>
  <w:style w:type="character" w:customStyle="1" w:styleId="hover25">
    <w:name w:val="hover25"/>
    <w:qFormat/>
    <w:rPr>
      <w:color w:val="315EFB"/>
    </w:rPr>
  </w:style>
  <w:style w:type="character" w:customStyle="1" w:styleId="hover26">
    <w:name w:val="hover26"/>
    <w:basedOn w:val="a0"/>
  </w:style>
  <w:style w:type="character" w:customStyle="1" w:styleId="hover24">
    <w:name w:val="hover24"/>
    <w:qFormat/>
    <w:rPr>
      <w:color w:val="315EFB"/>
    </w:rPr>
  </w:style>
  <w:style w:type="character" w:customStyle="1" w:styleId="c-icon26">
    <w:name w:val="c-icon26"/>
    <w:basedOn w:val="a0"/>
  </w:style>
  <w:style w:type="character" w:customStyle="1" w:styleId="c-icon">
    <w:name w:val="c-icon"/>
    <w:basedOn w:val="a0"/>
    <w:qFormat/>
  </w:style>
  <w:style w:type="paragraph" w:customStyle="1" w:styleId="src">
    <w:name w:val="src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result-html">
    <w:name w:val="result-html"/>
  </w:style>
  <w:style w:type="character" w:customStyle="1" w:styleId="font41">
    <w:name w:val="font41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51">
    <w:name w:val="font51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11">
    <w:name w:val="font11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font31">
    <w:name w:val="font31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a7">
    <w:name w:val="页眉 字符"/>
    <w:link w:val="a6"/>
    <w:rPr>
      <w:rFonts w:ascii="Calibri" w:eastAsia="宋体" w:hAnsi="Calibri" w:cs="Times New Roman"/>
      <w:sz w:val="18"/>
      <w:szCs w:val="18"/>
    </w:rPr>
  </w:style>
  <w:style w:type="character" w:customStyle="1" w:styleId="a5">
    <w:name w:val="页脚 字符"/>
    <w:link w:val="a4"/>
    <w:rPr>
      <w:rFonts w:ascii="Calibri" w:eastAsia="宋体" w:hAnsi="Calibri" w:cs="Times New Roman"/>
      <w:sz w:val="18"/>
      <w:szCs w:val="18"/>
    </w:rPr>
  </w:style>
  <w:style w:type="character" w:styleId="ae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f">
    <w:name w:val="annotation text"/>
    <w:basedOn w:val="a"/>
    <w:link w:val="af0"/>
    <w:uiPriority w:val="99"/>
    <w:semiHidden/>
    <w:unhideWhenUsed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af0">
    <w:name w:val="批注文字 字符"/>
    <w:basedOn w:val="a0"/>
    <w:link w:val="af"/>
    <w:uiPriority w:val="99"/>
    <w:semiHidden/>
    <w:rPr>
      <w:rFonts w:ascii="Tahoma" w:eastAsia="宋体" w:hAnsi="Tahoma" w:cs="Tahoma"/>
      <w:kern w:val="2"/>
      <w:sz w:val="16"/>
      <w:lang w:eastAsia="zh-CN"/>
    </w:rPr>
  </w:style>
  <w:style w:type="paragraph" w:styleId="af1">
    <w:name w:val="Balloon Text"/>
    <w:basedOn w:val="a"/>
    <w:link w:val="af2"/>
    <w:uiPriority w:val="99"/>
    <w:semiHidden/>
    <w:unhideWhenUsed/>
    <w:rsid w:val="00D002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D0025A"/>
    <w:rPr>
      <w:rFonts w:ascii="Segoe UI" w:eastAsia="宋体" w:hAnsi="Segoe UI" w:cs="Segoe UI"/>
      <w:kern w:val="2"/>
      <w:sz w:val="18"/>
      <w:szCs w:val="18"/>
      <w:lang w:eastAsia="zh-CN"/>
    </w:rPr>
  </w:style>
  <w:style w:type="paragraph" w:styleId="af3">
    <w:name w:val="annotation subject"/>
    <w:basedOn w:val="af"/>
    <w:next w:val="af"/>
    <w:link w:val="af4"/>
    <w:uiPriority w:val="99"/>
    <w:semiHidden/>
    <w:unhideWhenUsed/>
    <w:rsid w:val="007C3F6B"/>
    <w:rPr>
      <w:b/>
      <w:bCs/>
    </w:rPr>
  </w:style>
  <w:style w:type="character" w:customStyle="1" w:styleId="af4">
    <w:name w:val="批注主题 字符"/>
    <w:basedOn w:val="af0"/>
    <w:link w:val="af3"/>
    <w:uiPriority w:val="99"/>
    <w:semiHidden/>
    <w:rsid w:val="007C3F6B"/>
    <w:rPr>
      <w:rFonts w:ascii="Tahoma" w:eastAsia="宋体" w:hAnsi="Tahoma" w:cs="Tahoma"/>
      <w:b/>
      <w:bCs/>
      <w:kern w:val="2"/>
      <w:sz w:val="16"/>
      <w:lang w:eastAsia="zh-CN"/>
    </w:rPr>
  </w:style>
  <w:style w:type="paragraph" w:styleId="af5">
    <w:name w:val="Revision"/>
    <w:hidden/>
    <w:uiPriority w:val="99"/>
    <w:semiHidden/>
    <w:rsid w:val="00471754"/>
    <w:pPr>
      <w:spacing w:after="0" w:line="240" w:lineRule="auto"/>
    </w:pPr>
    <w:rPr>
      <w:rFonts w:ascii="Calibri" w:eastAsia="宋体" w:hAnsi="Calibri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2020-10-26T13:31:00Z</dcterms:created>
  <dcterms:modified xsi:type="dcterms:W3CDTF">2021-12-25T13:58:00Z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EditTimer">
    <vt:i4>1125</vt:i4>
  </property>
  <property fmtid="{D5CDD505-2E9C-101B-9397-08002B2CF9AE}" pid="4" name="UseTimer">
    <vt:bool>false</vt:bool>
  </property>
  <property fmtid="{D5CDD505-2E9C-101B-9397-08002B2CF9AE}" pid="5" name="LastTick">
    <vt:r8>44130.3956712963</vt:r8>
  </property>
  <property fmtid="{D5CDD505-2E9C-101B-9397-08002B2CF9AE}" pid="6" name="EditTotal">
    <vt:i4>1688</vt:i4>
  </property>
</Properties>
</file>