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DB5" w:rsidRDefault="005E0DB5" w:rsidP="005E0DB5">
      <w:pPr>
        <w:spacing w:line="360" w:lineRule="auto"/>
        <w:rPr>
          <w:rFonts w:ascii="Times New Roman" w:hAnsi="Times New Roman" w:cs="Times New Roman"/>
          <w:b/>
          <w:bCs/>
          <w:sz w:val="28"/>
          <w:szCs w:val="28"/>
        </w:rPr>
      </w:pPr>
      <w:bookmarkStart w:id="0" w:name="_GoBack"/>
      <w:r w:rsidRPr="005E0DB5">
        <w:rPr>
          <w:rFonts w:ascii="Times New Roman" w:hAnsi="Times New Roman" w:cs="Times New Roman"/>
          <w:b/>
          <w:bCs/>
          <w:sz w:val="28"/>
          <w:szCs w:val="28"/>
        </w:rPr>
        <w:t xml:space="preserve">Supplementary Materials and Methods </w:t>
      </w:r>
    </w:p>
    <w:bookmarkEnd w:id="0"/>
    <w:p w:rsidR="005E0DB5" w:rsidRPr="005E0DB5" w:rsidRDefault="005E0DB5" w:rsidP="005E0DB5">
      <w:pPr>
        <w:spacing w:line="360" w:lineRule="auto"/>
        <w:rPr>
          <w:rFonts w:ascii="Times New Roman" w:hAnsi="Times New Roman" w:cs="Times New Roman"/>
          <w:b/>
          <w:bCs/>
          <w:sz w:val="28"/>
          <w:szCs w:val="24"/>
        </w:rPr>
      </w:pPr>
      <w:r w:rsidRPr="005E0DB5">
        <w:rPr>
          <w:rFonts w:ascii="Times New Roman" w:hAnsi="Times New Roman" w:cs="Times New Roman"/>
          <w:b/>
          <w:bCs/>
          <w:sz w:val="28"/>
          <w:szCs w:val="24"/>
        </w:rPr>
        <w:t>Data source and processing</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Data on 396 colon adenocarcinoma samples in The Cancer Genome Atlas were downloaded (https://portal.gdc.cancer.gov/repository) using the TCGA </w:t>
      </w:r>
      <w:proofErr w:type="spellStart"/>
      <w:r>
        <w:rPr>
          <w:rFonts w:ascii="Times New Roman" w:hAnsi="Times New Roman" w:cs="Times New Roman"/>
          <w:sz w:val="24"/>
          <w:szCs w:val="24"/>
        </w:rPr>
        <w:t>biolink</w:t>
      </w:r>
      <w:proofErr w:type="spellEnd"/>
      <w:r>
        <w:rPr>
          <w:rFonts w:ascii="Times New Roman" w:hAnsi="Times New Roman" w:cs="Times New Roman"/>
          <w:sz w:val="24"/>
          <w:szCs w:val="24"/>
        </w:rPr>
        <w:t xml:space="preserve"> package</w:t>
      </w:r>
      <w:r>
        <w:rPr>
          <w:rFonts w:ascii="Times New Roman" w:hAnsi="Times New Roman" w:cs="Times New Roman"/>
          <w:sz w:val="24"/>
        </w:rPr>
        <w:t xml:space="preserve"> </w:t>
      </w:r>
      <w:r>
        <w:rPr>
          <w:rFonts w:ascii="Times New Roman" w:hAnsi="Times New Roman" w:cs="Times New Roman"/>
          <w:sz w:val="24"/>
          <w:szCs w:val="24"/>
        </w:rPr>
        <w:t>in R software. These samples were chosen because the database contained data on RNA seque</w:t>
      </w:r>
      <w:r>
        <w:rPr>
          <w:rFonts w:ascii="Times New Roman" w:hAnsi="Times New Roman" w:cs="Times New Roman" w:hint="eastAsia"/>
          <w:sz w:val="24"/>
          <w:szCs w:val="24"/>
        </w:rPr>
        <w:t xml:space="preserve">ncing, clinical characteristics of the patients (Table 1), and somatic mutation profiles. </w:t>
      </w:r>
      <w:proofErr w:type="spellStart"/>
      <w:r>
        <w:rPr>
          <w:rFonts w:ascii="Times New Roman" w:hAnsi="Times New Roman" w:cs="Times New Roman" w:hint="eastAsia"/>
          <w:sz w:val="24"/>
          <w:szCs w:val="24"/>
        </w:rPr>
        <w:t>Gencode</w:t>
      </w:r>
      <w:proofErr w:type="spellEnd"/>
      <w:r>
        <w:rPr>
          <w:rFonts w:ascii="Times New Roman" w:hAnsi="Times New Roman" w:cs="Times New Roman" w:hint="eastAsia"/>
          <w:sz w:val="24"/>
          <w:szCs w:val="24"/>
        </w:rPr>
        <w:t xml:space="preserve"> comprehensive gene annotation (version 34, https://www.gencodegenes.org) was used to distinguish </w:t>
      </w:r>
      <w:proofErr w:type="spellStart"/>
      <w:r>
        <w:rPr>
          <w:rFonts w:ascii="Times New Roman" w:hAnsi="Times New Roman" w:cs="Times New Roman" w:hint="eastAsia"/>
          <w:sz w:val="24"/>
          <w:szCs w:val="24"/>
        </w:rPr>
        <w:t>lncRNAs</w:t>
      </w:r>
      <w:proofErr w:type="spellEnd"/>
      <w:r>
        <w:rPr>
          <w:rFonts w:ascii="Times New Roman" w:hAnsi="Times New Roman" w:cs="Times New Roman" w:hint="eastAsia"/>
          <w:sz w:val="24"/>
          <w:szCs w:val="24"/>
        </w:rPr>
        <w:t xml:space="preserve"> from mRNAs. Somatic mu</w:t>
      </w:r>
      <w:r>
        <w:rPr>
          <w:rFonts w:ascii="Times New Roman" w:hAnsi="Times New Roman" w:cs="Times New Roman"/>
          <w:sz w:val="24"/>
          <w:szCs w:val="24"/>
        </w:rPr>
        <w:t xml:space="preserve">tation profiles were analyzed using the </w:t>
      </w:r>
      <w:proofErr w:type="spellStart"/>
      <w:r>
        <w:rPr>
          <w:rFonts w:ascii="Times New Roman" w:hAnsi="Times New Roman" w:cs="Times New Roman"/>
          <w:sz w:val="24"/>
          <w:szCs w:val="24"/>
        </w:rPr>
        <w:t>maftools</w:t>
      </w:r>
      <w:proofErr w:type="spellEnd"/>
      <w:r>
        <w:rPr>
          <w:rFonts w:ascii="Times New Roman" w:hAnsi="Times New Roman" w:cs="Times New Roman"/>
          <w:sz w:val="24"/>
          <w:szCs w:val="24"/>
        </w:rPr>
        <w:t xml:space="preserve"> package</w:t>
      </w:r>
      <w:r>
        <w:rPr>
          <w:rFonts w:ascii="Times New Roman" w:hAnsi="Times New Roman" w:cs="Times New Roman"/>
          <w:sz w:val="24"/>
        </w:rPr>
        <w:t xml:space="preserve"> </w:t>
      </w:r>
      <w:r>
        <w:rPr>
          <w:rFonts w:ascii="Times New Roman" w:hAnsi="Times New Roman" w:cs="Times New Roman"/>
          <w:sz w:val="24"/>
          <w:szCs w:val="24"/>
        </w:rPr>
        <w:t>in R. TMB was calculated as the total number of variants divided by the whole length of exons, estimated to be 38 Mb. On the basis of an optimized TMB cutoff of eight mutations/</w:t>
      </w:r>
      <w:proofErr w:type="spellStart"/>
      <w:r>
        <w:rPr>
          <w:rFonts w:ascii="Times New Roman" w:hAnsi="Times New Roman" w:cs="Times New Roman"/>
          <w:sz w:val="24"/>
          <w:szCs w:val="24"/>
        </w:rPr>
        <w:t>mb</w:t>
      </w:r>
      <w:proofErr w:type="spellEnd"/>
      <w:r>
        <w:rPr>
          <w:rFonts w:ascii="Times New Roman" w:hAnsi="Times New Roman" w:cs="Times New Roman"/>
          <w:sz w:val="24"/>
          <w:szCs w:val="24"/>
        </w:rPr>
        <w:t>, there were patients with eight or fewer mutations/</w:t>
      </w:r>
      <w:proofErr w:type="spellStart"/>
      <w:r>
        <w:rPr>
          <w:rFonts w:ascii="Times New Roman" w:hAnsi="Times New Roman" w:cs="Times New Roman"/>
          <w:sz w:val="24"/>
          <w:szCs w:val="24"/>
        </w:rPr>
        <w:t>mb</w:t>
      </w:r>
      <w:proofErr w:type="spellEnd"/>
      <w:r>
        <w:rPr>
          <w:rFonts w:ascii="Times New Roman" w:hAnsi="Times New Roman" w:cs="Times New Roman"/>
          <w:sz w:val="24"/>
          <w:szCs w:val="24"/>
        </w:rPr>
        <w:t xml:space="preserve"> in their tumors who were classified as TMB low (20%), and the other patients with more than eight mutations/</w:t>
      </w:r>
      <w:proofErr w:type="spellStart"/>
      <w:r>
        <w:rPr>
          <w:rFonts w:ascii="Times New Roman" w:hAnsi="Times New Roman" w:cs="Times New Roman"/>
          <w:sz w:val="24"/>
          <w:szCs w:val="24"/>
        </w:rPr>
        <w:t>mb</w:t>
      </w:r>
      <w:proofErr w:type="spellEnd"/>
      <w:r>
        <w:rPr>
          <w:rFonts w:ascii="Times New Roman" w:hAnsi="Times New Roman" w:cs="Times New Roman"/>
          <w:sz w:val="24"/>
          <w:szCs w:val="24"/>
        </w:rPr>
        <w:t xml:space="preserve"> in their tumors were classified as TMB high (80%). 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 expression profile and clinical features were incorporated into the complete cohort, and further randomly divided into the training cohort and test cohort, using the “caret” package (https://CRAN.R-project.org/package=caret). There were 278 samples (56 with high TMB) in the training cohort. And there were 118 samples (24 with high TMB) in the test cohort.</w:t>
      </w:r>
      <w:r>
        <w:rPr>
          <w:rFonts w:ascii="Times New Roman" w:hAnsi="Times New Roman" w:cs="Times New Roman" w:hint="eastAsia"/>
          <w:sz w:val="24"/>
          <w:szCs w:val="24"/>
        </w:rPr>
        <w:t xml:space="preserve"> </w:t>
      </w:r>
      <w:r>
        <w:rPr>
          <w:rFonts w:ascii="Times New Roman" w:hAnsi="Times New Roman" w:cs="Times New Roman"/>
          <w:sz w:val="24"/>
          <w:szCs w:val="24"/>
        </w:rPr>
        <w:t>I</w:t>
      </w:r>
      <w:proofErr w:type="spellStart"/>
      <w:r>
        <w:rPr>
          <w:rFonts w:ascii="Times New Roman" w:hAnsi="Times New Roman" w:cs="Times New Roman"/>
          <w:sz w:val="24"/>
          <w:szCs w:val="24"/>
          <w:lang w:val="en-GB"/>
        </w:rPr>
        <w:t>n</w:t>
      </w:r>
      <w:proofErr w:type="spellEnd"/>
      <w:r>
        <w:rPr>
          <w:rFonts w:ascii="Times New Roman" w:hAnsi="Times New Roman" w:cs="Times New Roman"/>
          <w:sz w:val="24"/>
          <w:szCs w:val="24"/>
          <w:lang w:val="en-GB"/>
        </w:rPr>
        <w:t xml:space="preserve"> addition</w:t>
      </w:r>
      <w:r>
        <w:rPr>
          <w:rFonts w:ascii="Times New Roman" w:hAnsi="Times New Roman" w:cs="Times New Roman"/>
          <w:sz w:val="24"/>
          <w:szCs w:val="24"/>
        </w:rPr>
        <w:t>,</w:t>
      </w:r>
      <w:r>
        <w:rPr>
          <w:rFonts w:ascii="Times New Roman" w:hAnsi="Times New Roman" w:cs="Times New Roman" w:hint="eastAsia"/>
          <w:sz w:val="24"/>
          <w:szCs w:val="24"/>
        </w:rPr>
        <w:t xml:space="preserve"> the datasets GSE143985 on the GPL570 platform served as a validation set.</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Identification of DE </w:t>
      </w:r>
      <w:proofErr w:type="spellStart"/>
      <w:r>
        <w:rPr>
          <w:rFonts w:ascii="Times New Roman" w:hAnsi="Times New Roman" w:cs="Times New Roman"/>
          <w:b/>
          <w:bCs/>
          <w:sz w:val="24"/>
          <w:szCs w:val="24"/>
        </w:rPr>
        <w:t>lncRNAs</w:t>
      </w:r>
      <w:proofErr w:type="spellEnd"/>
      <w:r>
        <w:rPr>
          <w:rFonts w:ascii="Times New Roman" w:hAnsi="Times New Roman" w:cs="Times New Roman"/>
          <w:b/>
          <w:bCs/>
          <w:sz w:val="24"/>
          <w:szCs w:val="24"/>
        </w:rPr>
        <w:t xml:space="preserve">, hierarchical clustering and principal component analysis </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The data downloaded from the </w:t>
      </w:r>
      <w:proofErr w:type="spellStart"/>
      <w:r>
        <w:rPr>
          <w:rFonts w:ascii="Times New Roman" w:hAnsi="Times New Roman" w:cs="Times New Roman" w:hint="eastAsia"/>
          <w:sz w:val="24"/>
          <w:szCs w:val="24"/>
        </w:rPr>
        <w:t>The</w:t>
      </w:r>
      <w:proofErr w:type="spellEnd"/>
      <w:r>
        <w:rPr>
          <w:rFonts w:ascii="Times New Roman" w:hAnsi="Times New Roman" w:cs="Times New Roman" w:hint="eastAsia"/>
          <w:sz w:val="24"/>
          <w:szCs w:val="24"/>
        </w:rPr>
        <w:t xml:space="preserve"> Cancer Genome Atlas contained 25,284 </w:t>
      </w:r>
      <w:proofErr w:type="spellStart"/>
      <w:r>
        <w:rPr>
          <w:rFonts w:ascii="Times New Roman" w:hAnsi="Times New Roman" w:cs="Times New Roman" w:hint="eastAsia"/>
          <w:sz w:val="24"/>
          <w:szCs w:val="24"/>
        </w:rPr>
        <w:t>lncRNAs</w:t>
      </w:r>
      <w:proofErr w:type="spellEnd"/>
      <w:r>
        <w:rPr>
          <w:rFonts w:ascii="Times New Roman" w:hAnsi="Times New Roman" w:cs="Times New Roman" w:hint="eastAsia"/>
          <w:sz w:val="24"/>
          <w:szCs w:val="24"/>
        </w:rPr>
        <w:t xml:space="preserve"> and 19,597 mRNAs, and </w:t>
      </w:r>
      <w:proofErr w:type="spellStart"/>
      <w:r>
        <w:rPr>
          <w:rFonts w:ascii="Times New Roman" w:hAnsi="Times New Roman" w:cs="Times New Roman" w:hint="eastAsia"/>
          <w:sz w:val="24"/>
          <w:szCs w:val="24"/>
        </w:rPr>
        <w:t>lncRNAs</w:t>
      </w:r>
      <w:proofErr w:type="spellEnd"/>
      <w:r>
        <w:rPr>
          <w:rFonts w:ascii="Times New Roman" w:hAnsi="Times New Roman" w:cs="Times New Roman" w:hint="eastAsia"/>
          <w:sz w:val="24"/>
          <w:szCs w:val="24"/>
        </w:rPr>
        <w:t xml:space="preserve"> differentially expressed (DE</w:t>
      </w:r>
      <w:r>
        <w:rPr>
          <w:rFonts w:ascii="Times New Roman" w:hAnsi="Times New Roman" w:cs="Times New Roman"/>
          <w:sz w:val="24"/>
          <w:szCs w:val="24"/>
        </w:rPr>
        <w:t xml:space="preserve"> </w:t>
      </w:r>
      <w:proofErr w:type="spellStart"/>
      <w:r>
        <w:rPr>
          <w:rFonts w:ascii="Times New Roman" w:hAnsi="Times New Roman" w:cs="Times New Roman" w:hint="eastAsia"/>
          <w:sz w:val="24"/>
          <w:szCs w:val="24"/>
        </w:rPr>
        <w:t>lncRNAs</w:t>
      </w:r>
      <w:proofErr w:type="spellEnd"/>
      <w:r>
        <w:rPr>
          <w:rFonts w:ascii="Times New Roman" w:hAnsi="Times New Roman" w:cs="Times New Roman" w:hint="eastAsia"/>
          <w:sz w:val="24"/>
          <w:szCs w:val="24"/>
        </w:rPr>
        <w:t xml:space="preserve">) between tumor patients with low or high TMB based on a log2 fold change (FC) </w:t>
      </w:r>
      <w:r>
        <w:rPr>
          <w:rFonts w:ascii="Times New Roman" w:hAnsi="Times New Roman" w:cs="Times New Roman" w:hint="eastAsia"/>
          <w:sz w:val="24"/>
          <w:szCs w:val="24"/>
        </w:rPr>
        <w:t>＞</w:t>
      </w:r>
      <w:r>
        <w:rPr>
          <w:rFonts w:ascii="Times New Roman" w:hAnsi="Times New Roman" w:cs="Times New Roman" w:hint="eastAsia"/>
          <w:sz w:val="24"/>
          <w:szCs w:val="24"/>
        </w:rPr>
        <w:t xml:space="preserve"> 2 and adjusted P</w:t>
      </w:r>
      <w:r>
        <w:rPr>
          <w:rFonts w:ascii="Times New Roman" w:hAnsi="Times New Roman" w:cs="Times New Roman" w:hint="eastAsia"/>
          <w:sz w:val="24"/>
          <w:szCs w:val="24"/>
        </w:rPr>
        <w:t>＜</w:t>
      </w:r>
      <w:r>
        <w:rPr>
          <w:rFonts w:ascii="Times New Roman" w:hAnsi="Times New Roman" w:cs="Times New Roman" w:hint="eastAsia"/>
          <w:sz w:val="24"/>
          <w:szCs w:val="24"/>
        </w:rPr>
        <w:t xml:space="preserve"> 0.01 were ide</w:t>
      </w:r>
      <w:r>
        <w:rPr>
          <w:rFonts w:ascii="Times New Roman" w:hAnsi="Times New Roman" w:cs="Times New Roman"/>
          <w:sz w:val="24"/>
          <w:szCs w:val="24"/>
        </w:rPr>
        <w:t>ntified using the DESeq2 package</w:t>
      </w:r>
      <w:r>
        <w:rPr>
          <w:rFonts w:ascii="Times New Roman" w:hAnsi="Times New Roman" w:cs="Times New Roman"/>
          <w:sz w:val="24"/>
        </w:rPr>
        <w:t xml:space="preserve"> </w:t>
      </w:r>
      <w:r>
        <w:rPr>
          <w:rFonts w:ascii="Times New Roman" w:hAnsi="Times New Roman" w:cs="Times New Roman"/>
          <w:sz w:val="24"/>
          <w:szCs w:val="24"/>
        </w:rPr>
        <w:t xml:space="preserve">in R. </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Hierarchical clustering was performed based on Euclidean distance </w:t>
      </w:r>
      <w:r>
        <w:rPr>
          <w:rFonts w:ascii="Times New Roman" w:hAnsi="Times New Roman" w:cs="Times New Roman"/>
          <w:sz w:val="24"/>
          <w:szCs w:val="24"/>
        </w:rPr>
        <w:lastRenderedPageBreak/>
        <w:t xml:space="preserve">(10.4236/ajps.2018.912181), and the results were displayed as a heat map using the </w:t>
      </w:r>
      <w:proofErr w:type="spellStart"/>
      <w:r>
        <w:rPr>
          <w:rFonts w:ascii="Times New Roman" w:hAnsi="Times New Roman" w:cs="Times New Roman"/>
          <w:sz w:val="24"/>
          <w:szCs w:val="24"/>
        </w:rPr>
        <w:t>pheatmap</w:t>
      </w:r>
      <w:proofErr w:type="spellEnd"/>
      <w:r>
        <w:rPr>
          <w:rFonts w:ascii="Times New Roman" w:hAnsi="Times New Roman" w:cs="Times New Roman"/>
          <w:sz w:val="24"/>
          <w:szCs w:val="24"/>
        </w:rPr>
        <w:t xml:space="preserve"> package (https://CRAN.R-project.org/package=pheatmap) in R. Principal component analysis was computed using DE </w:t>
      </w:r>
      <w:proofErr w:type="spellStart"/>
      <w:r>
        <w:rPr>
          <w:rFonts w:ascii="Times New Roman" w:hAnsi="Times New Roman" w:cs="Times New Roman"/>
          <w:sz w:val="24"/>
          <w:szCs w:val="24"/>
        </w:rPr>
        <w:t>lncRNAs</w:t>
      </w:r>
      <w:proofErr w:type="spellEnd"/>
      <w:r>
        <w:rPr>
          <w:rFonts w:ascii="Times New Roman" w:hAnsi="Times New Roman" w:cs="Times New Roman"/>
          <w:sz w:val="24"/>
          <w:szCs w:val="24"/>
        </w:rPr>
        <w:t xml:space="preserve">. </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Definition of a </w:t>
      </w:r>
      <w:proofErr w:type="spellStart"/>
      <w:r>
        <w:rPr>
          <w:rFonts w:ascii="Times New Roman" w:hAnsi="Times New Roman" w:cs="Times New Roman"/>
          <w:b/>
          <w:bCs/>
          <w:sz w:val="24"/>
          <w:szCs w:val="24"/>
        </w:rPr>
        <w:t>lncRNA</w:t>
      </w:r>
      <w:proofErr w:type="spellEnd"/>
      <w:r>
        <w:rPr>
          <w:rFonts w:ascii="Times New Roman" w:hAnsi="Times New Roman" w:cs="Times New Roman"/>
          <w:b/>
          <w:bCs/>
          <w:sz w:val="24"/>
          <w:szCs w:val="24"/>
        </w:rPr>
        <w:t xml:space="preserve"> signature to predict TMB </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absolute shrinkage and selection operator (LASSO) method was used to identify DE </w:t>
      </w:r>
      <w:proofErr w:type="spellStart"/>
      <w:r>
        <w:rPr>
          <w:rFonts w:ascii="Times New Roman" w:hAnsi="Times New Roman" w:cs="Times New Roman"/>
          <w:sz w:val="24"/>
          <w:szCs w:val="24"/>
        </w:rPr>
        <w:t>lncRNAs</w:t>
      </w:r>
      <w:proofErr w:type="spellEnd"/>
      <w:r>
        <w:rPr>
          <w:rFonts w:ascii="Times New Roman" w:hAnsi="Times New Roman" w:cs="Times New Roman"/>
          <w:sz w:val="24"/>
          <w:szCs w:val="24"/>
        </w:rPr>
        <w:t xml:space="preserve"> that accurately differentiated low or high TMB. This method is suitable for high-dimensional data and can avoid overfitting. LASSO was performed with the </w:t>
      </w:r>
      <w:proofErr w:type="spellStart"/>
      <w:r>
        <w:rPr>
          <w:rFonts w:ascii="Times New Roman" w:hAnsi="Times New Roman" w:cs="Times New Roman"/>
          <w:sz w:val="24"/>
          <w:szCs w:val="24"/>
        </w:rPr>
        <w:t>glmnet</w:t>
      </w:r>
      <w:proofErr w:type="spellEnd"/>
      <w:r>
        <w:rPr>
          <w:rFonts w:ascii="Times New Roman" w:hAnsi="Times New Roman" w:cs="Times New Roman"/>
          <w:sz w:val="24"/>
          <w:szCs w:val="24"/>
        </w:rPr>
        <w:t xml:space="preserve"> package</w:t>
      </w:r>
      <w:r>
        <w:rPr>
          <w:rFonts w:ascii="Times New Roman" w:hAnsi="Times New Roman" w:cs="Times New Roman"/>
          <w:sz w:val="24"/>
        </w:rPr>
        <w:t xml:space="preserve"> </w:t>
      </w:r>
      <w:r>
        <w:rPr>
          <w:rFonts w:ascii="Times New Roman" w:hAnsi="Times New Roman" w:cs="Times New Roman"/>
          <w:sz w:val="24"/>
          <w:szCs w:val="24"/>
        </w:rPr>
        <w:t xml:space="preserve">in R. Using 10-fold cross-validation, we chose values of λ giving the smallest partial </w:t>
      </w:r>
      <w:proofErr w:type="spellStart"/>
      <w:r>
        <w:rPr>
          <w:rFonts w:ascii="Times New Roman" w:hAnsi="Times New Roman" w:cs="Times New Roman"/>
          <w:sz w:val="24"/>
          <w:szCs w:val="24"/>
        </w:rPr>
        <w:t>likehood</w:t>
      </w:r>
      <w:proofErr w:type="spellEnd"/>
      <w:r>
        <w:rPr>
          <w:rFonts w:ascii="Times New Roman" w:hAnsi="Times New Roman" w:cs="Times New Roman"/>
          <w:sz w:val="24"/>
          <w:szCs w:val="24"/>
        </w:rPr>
        <w:t xml:space="preserve"> deviance. The predictive score for the signature was defined as </w:t>
      </w:r>
      <w:r>
        <w:rPr>
          <w:rFonts w:ascii="Times New Roman" w:hAnsi="Times New Roman" w:cs="Times New Roman" w:hint="eastAsia"/>
          <w:sz w:val="24"/>
          <w:szCs w:val="24"/>
        </w:rPr>
        <w:t>∑</w:t>
      </w:r>
      <w:proofErr w:type="spellStart"/>
      <w:r>
        <w:rPr>
          <w:rFonts w:ascii="Times New Roman" w:hAnsi="Times New Roman" w:cs="Times New Roman"/>
          <w:sz w:val="24"/>
          <w:szCs w:val="24"/>
        </w:rPr>
        <w:t>ni</w:t>
      </w:r>
      <w:proofErr w:type="spellEnd"/>
      <w:r>
        <w:rPr>
          <w:rFonts w:ascii="Times New Roman" w:hAnsi="Times New Roman" w:cs="Times New Roman"/>
          <w:sz w:val="24"/>
          <w:szCs w:val="24"/>
        </w:rPr>
        <w:t>=1 (</w:t>
      </w:r>
      <w:proofErr w:type="spellStart"/>
      <w:r>
        <w:rPr>
          <w:rFonts w:ascii="Times New Roman" w:hAnsi="Times New Roman" w:cs="Times New Roman"/>
          <w:sz w:val="24"/>
          <w:szCs w:val="24"/>
        </w:rPr>
        <w:t>Coefi</w:t>
      </w:r>
      <w:proofErr w:type="spellEnd"/>
      <w:r>
        <w:rPr>
          <w:rFonts w:ascii="Times New Roman" w:hAnsi="Times New Roman" w:cs="Times New Roman"/>
          <w:sz w:val="24"/>
          <w:szCs w:val="24"/>
        </w:rPr>
        <w:t> × </w:t>
      </w:r>
      <w:proofErr w:type="spellStart"/>
      <w:r>
        <w:rPr>
          <w:rFonts w:ascii="Times New Roman" w:hAnsi="Times New Roman" w:cs="Times New Roman"/>
          <w:sz w:val="24"/>
          <w:szCs w:val="24"/>
        </w:rPr>
        <w:t>Expri</w:t>
      </w:r>
      <w:proofErr w:type="spellEnd"/>
      <w:r>
        <w:rPr>
          <w:rFonts w:ascii="Times New Roman" w:hAnsi="Times New Roman" w:cs="Times New Roman"/>
          <w:sz w:val="24"/>
          <w:szCs w:val="24"/>
        </w:rPr>
        <w:t>), where “</w:t>
      </w:r>
      <w:proofErr w:type="spellStart"/>
      <w:r>
        <w:rPr>
          <w:rFonts w:ascii="Times New Roman" w:hAnsi="Times New Roman" w:cs="Times New Roman"/>
          <w:sz w:val="24"/>
          <w:szCs w:val="24"/>
        </w:rPr>
        <w:t>Coef</w:t>
      </w:r>
      <w:proofErr w:type="spellEnd"/>
      <w:r>
        <w:rPr>
          <w:rFonts w:ascii="Times New Roman" w:hAnsi="Times New Roman" w:cs="Times New Roman"/>
          <w:sz w:val="24"/>
          <w:szCs w:val="24"/>
        </w:rPr>
        <w:t xml:space="preserve">” refers to the LASSO regression coefficient and “Expr” to the expression of the given DE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The signature scores were calculated for the training cohort, and their ability to predict low or high TMB was assessed in terms of accuracy, sensitivity (Se), specificity (</w:t>
      </w:r>
      <w:proofErr w:type="spellStart"/>
      <w:r>
        <w:rPr>
          <w:rFonts w:ascii="Times New Roman" w:hAnsi="Times New Roman" w:cs="Times New Roman"/>
          <w:sz w:val="24"/>
          <w:szCs w:val="24"/>
        </w:rPr>
        <w:t>Sp</w:t>
      </w:r>
      <w:proofErr w:type="spellEnd"/>
      <w:r>
        <w:rPr>
          <w:rFonts w:ascii="Times New Roman" w:hAnsi="Times New Roman" w:cs="Times New Roman"/>
          <w:sz w:val="24"/>
          <w:szCs w:val="24"/>
        </w:rPr>
        <w:t xml:space="preserve">), positive predictive value (PPV), negative predictive value (NPV), and area under the receiver operating characteristic (ROC) curve. </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Construction of the nomogram</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A nomogram was constructed using the “</w:t>
      </w:r>
      <w:proofErr w:type="spellStart"/>
      <w:r>
        <w:rPr>
          <w:rFonts w:ascii="Times New Roman" w:hAnsi="Times New Roman" w:cs="Times New Roman"/>
          <w:sz w:val="24"/>
          <w:szCs w:val="24"/>
        </w:rPr>
        <w:t>rms</w:t>
      </w:r>
      <w:proofErr w:type="spellEnd"/>
      <w:r>
        <w:rPr>
          <w:rFonts w:ascii="Times New Roman" w:hAnsi="Times New Roman" w:cs="Times New Roman"/>
          <w:sz w:val="24"/>
          <w:szCs w:val="24"/>
        </w:rPr>
        <w:t>” R package (https://CRAN.R-project.org/package=rms). Calibration plots were performed to assess the prognostic accuracy of the nomogram. The predicted outcomes and observed outcomes of the nomogram were presented in the calibrated curve, and the 45°line represents the best prediction.</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Survival analysis</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The statistical analysis of survival was performed using the Kaplan-Meier method to build the survival probability curves. The analysis was carried out through the functions “</w:t>
      </w:r>
      <w:proofErr w:type="spellStart"/>
      <w:r>
        <w:rPr>
          <w:rFonts w:ascii="Times New Roman" w:hAnsi="Times New Roman" w:cs="Times New Roman"/>
          <w:sz w:val="24"/>
          <w:szCs w:val="24"/>
        </w:rPr>
        <w:t>survfit</w:t>
      </w:r>
      <w:proofErr w:type="spellEnd"/>
      <w:r>
        <w:rPr>
          <w:rFonts w:ascii="Times New Roman" w:hAnsi="Times New Roman" w:cs="Times New Roman"/>
          <w:sz w:val="24"/>
          <w:szCs w:val="24"/>
        </w:rPr>
        <w:t>” and “</w:t>
      </w:r>
      <w:proofErr w:type="spellStart"/>
      <w:r>
        <w:rPr>
          <w:rFonts w:ascii="Times New Roman" w:hAnsi="Times New Roman" w:cs="Times New Roman"/>
          <w:sz w:val="24"/>
          <w:szCs w:val="24"/>
        </w:rPr>
        <w:t>ggsurvplot</w:t>
      </w:r>
      <w:proofErr w:type="spellEnd"/>
      <w:r>
        <w:rPr>
          <w:rFonts w:ascii="Times New Roman" w:hAnsi="Times New Roman" w:cs="Times New Roman"/>
          <w:sz w:val="24"/>
          <w:szCs w:val="24"/>
        </w:rPr>
        <w:t>” from the R packages “survival” (CRAN.R-project.org/package=survival) and “</w:t>
      </w:r>
      <w:proofErr w:type="spellStart"/>
      <w:r>
        <w:rPr>
          <w:rFonts w:ascii="Times New Roman" w:hAnsi="Times New Roman" w:cs="Times New Roman"/>
          <w:sz w:val="24"/>
          <w:szCs w:val="24"/>
        </w:rPr>
        <w:t>survminer</w:t>
      </w:r>
      <w:proofErr w:type="spellEnd"/>
      <w:r>
        <w:rPr>
          <w:rFonts w:ascii="Times New Roman" w:hAnsi="Times New Roman" w:cs="Times New Roman"/>
          <w:sz w:val="24"/>
          <w:szCs w:val="24"/>
        </w:rPr>
        <w:t>” (CRAN.R-</w:t>
      </w:r>
      <w:r>
        <w:rPr>
          <w:rFonts w:ascii="Times New Roman" w:hAnsi="Times New Roman" w:cs="Times New Roman"/>
          <w:sz w:val="24"/>
          <w:szCs w:val="24"/>
        </w:rPr>
        <w:lastRenderedPageBreak/>
        <w:t>project.org/package=</w:t>
      </w:r>
      <w:proofErr w:type="spellStart"/>
      <w:r>
        <w:rPr>
          <w:rFonts w:ascii="Times New Roman" w:hAnsi="Times New Roman" w:cs="Times New Roman"/>
          <w:sz w:val="24"/>
          <w:szCs w:val="24"/>
        </w:rPr>
        <w:t>survminer</w:t>
      </w:r>
      <w:proofErr w:type="spellEnd"/>
      <w:r>
        <w:rPr>
          <w:rFonts w:ascii="Times New Roman" w:hAnsi="Times New Roman" w:cs="Times New Roman"/>
          <w:sz w:val="24"/>
          <w:szCs w:val="24"/>
        </w:rPr>
        <w:t xml:space="preserve"> to link to this page), respectively (https://cran.r-project.org/web/packages/survminer/index.html).</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Correlation of </w:t>
      </w:r>
      <w:proofErr w:type="spellStart"/>
      <w:r>
        <w:rPr>
          <w:rFonts w:ascii="Times New Roman" w:hAnsi="Times New Roman" w:cs="Times New Roman"/>
          <w:b/>
          <w:bCs/>
          <w:sz w:val="24"/>
          <w:szCs w:val="24"/>
        </w:rPr>
        <w:t>lncRNA</w:t>
      </w:r>
      <w:proofErr w:type="spellEnd"/>
      <w:r>
        <w:rPr>
          <w:rFonts w:ascii="Times New Roman" w:hAnsi="Times New Roman" w:cs="Times New Roman"/>
          <w:b/>
          <w:bCs/>
          <w:sz w:val="24"/>
          <w:szCs w:val="24"/>
        </w:rPr>
        <w:t xml:space="preserve"> signature score and abundance of tumor-infiltrating lymphocytes </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Normalized gene expression data were used to infer the relative proportions of 22 types of tumor-infiltrating lymphocytes (TIL) using the CIBERSORT algorithm. Briefly, gene expression datasets were prepared using standard annotation files and data uploaded to the CIBERSORT web portal, with the algorithm run using the default signature matrix at 1000 permutations. CIBRSORT is an analytical tool which accurately quantifies the relative levels of distinct immune cell types within a complex gene expression mixture. CIBERSORT derives a P value for the deconvolution for each sample using the Monte Carlo sampling, providing a measure confidence in the results. A set of barcode gene expression values (a “signature matrix” of 547 genes) was used by CIBERSORT for characterizing immune cell composition. Here, the original CIBERSORT gene signature file LM22 was applied. The 22 cell types inferred by CIBERSORT include B cells, T cells, nature killer cells, macrophages, dendritic cells, eosinophils, and neutrophils, amongst others. And the </w:t>
      </w:r>
      <w:proofErr w:type="spellStart"/>
      <w:r>
        <w:rPr>
          <w:rFonts w:ascii="Times New Roman" w:hAnsi="Times New Roman" w:cs="Times New Roman"/>
          <w:sz w:val="24"/>
          <w:szCs w:val="24"/>
        </w:rPr>
        <w:t>ggpubr</w:t>
      </w:r>
      <w:proofErr w:type="spellEnd"/>
      <w:r>
        <w:rPr>
          <w:rFonts w:ascii="Times New Roman" w:hAnsi="Times New Roman" w:cs="Times New Roman"/>
          <w:sz w:val="24"/>
          <w:szCs w:val="24"/>
        </w:rPr>
        <w:t xml:space="preserve"> package was used to assess the correlation between 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 signature score and the signature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Correlation of </w:t>
      </w:r>
      <w:proofErr w:type="spellStart"/>
      <w:r>
        <w:rPr>
          <w:rFonts w:ascii="Times New Roman" w:hAnsi="Times New Roman" w:cs="Times New Roman"/>
          <w:b/>
          <w:bCs/>
          <w:sz w:val="24"/>
          <w:szCs w:val="24"/>
        </w:rPr>
        <w:t>lncRNA</w:t>
      </w:r>
      <w:proofErr w:type="spellEnd"/>
      <w:r>
        <w:rPr>
          <w:rFonts w:ascii="Times New Roman" w:hAnsi="Times New Roman" w:cs="Times New Roman"/>
          <w:b/>
          <w:bCs/>
          <w:sz w:val="24"/>
          <w:szCs w:val="24"/>
        </w:rPr>
        <w:t xml:space="preserve"> signature score and predictors of ICI efficacy</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ggpubr</w:t>
      </w:r>
      <w:proofErr w:type="spellEnd"/>
      <w:r>
        <w:rPr>
          <w:rFonts w:ascii="Times New Roman" w:hAnsi="Times New Roman" w:cs="Times New Roman"/>
          <w:sz w:val="24"/>
          <w:szCs w:val="24"/>
        </w:rPr>
        <w:t xml:space="preserve"> package was used to assess correlations between 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 signature score and the following indicators of ICI efficacy: TMB; expression of the immune checkpoint genes encoding cytotoxic T-lymphocyte antigen-4 (CTLA4), programmed cell death protein-1 (PDCD1) and its ligand PD-L1 (CD274); and the signature of T-effector and interferon-γ genes comprising CD8A, GZMA, GZMB, IFNG, EOMES, CXCL9, CXCL10, and TBX2. These genes have been associated with activated T cells, immune </w:t>
      </w:r>
      <w:proofErr w:type="spellStart"/>
      <w:r>
        <w:rPr>
          <w:rFonts w:ascii="Times New Roman" w:hAnsi="Times New Roman" w:cs="Times New Roman"/>
          <w:sz w:val="24"/>
          <w:szCs w:val="24"/>
        </w:rPr>
        <w:t>cytolytic</w:t>
      </w:r>
      <w:proofErr w:type="spellEnd"/>
      <w:r>
        <w:rPr>
          <w:rFonts w:ascii="Times New Roman" w:hAnsi="Times New Roman" w:cs="Times New Roman"/>
          <w:sz w:val="24"/>
          <w:szCs w:val="24"/>
        </w:rPr>
        <w:t xml:space="preserve"> activity, and interferon-γ expression, which together may constitute preexisting immunity that renders </w:t>
      </w:r>
      <w:proofErr w:type="spellStart"/>
      <w:r>
        <w:rPr>
          <w:rFonts w:ascii="Times New Roman" w:hAnsi="Times New Roman" w:cs="Times New Roman"/>
          <w:sz w:val="24"/>
          <w:szCs w:val="24"/>
        </w:rPr>
        <w:t>atezolizumab</w:t>
      </w:r>
      <w:proofErr w:type="spellEnd"/>
      <w:r>
        <w:rPr>
          <w:rFonts w:ascii="Times New Roman" w:hAnsi="Times New Roman" w:cs="Times New Roman"/>
          <w:sz w:val="24"/>
          <w:szCs w:val="24"/>
        </w:rPr>
        <w:t xml:space="preserve"> effective. The signature of T-effector and interferon-γ genes was calculated for each sample using the simple sample gene set </w:t>
      </w:r>
      <w:r>
        <w:rPr>
          <w:rFonts w:ascii="Times New Roman" w:hAnsi="Times New Roman" w:cs="Times New Roman"/>
          <w:sz w:val="24"/>
          <w:szCs w:val="24"/>
        </w:rPr>
        <w:lastRenderedPageBreak/>
        <w:t>variation analysis (</w:t>
      </w:r>
      <w:proofErr w:type="spellStart"/>
      <w:r>
        <w:rPr>
          <w:rFonts w:ascii="Times New Roman" w:hAnsi="Times New Roman" w:cs="Times New Roman"/>
          <w:sz w:val="24"/>
          <w:szCs w:val="24"/>
        </w:rPr>
        <w:t>ssGSVA</w:t>
      </w:r>
      <w:proofErr w:type="spellEnd"/>
      <w:r>
        <w:rPr>
          <w:rFonts w:ascii="Times New Roman" w:hAnsi="Times New Roman" w:cs="Times New Roman"/>
          <w:sz w:val="24"/>
          <w:szCs w:val="24"/>
        </w:rPr>
        <w:t xml:space="preserve">) method. </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Gene set variation analysis (GSVA) </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396 colon adenocarcinoma samples were classified as having low or high scores for 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 signature, based on the median score. The reference gene set (c2.cp.kegg.v7.1.symbols.gmt) was downloaded from the Molecular Signature Database</w:t>
      </w:r>
      <w:r>
        <w:rPr>
          <w:rFonts w:ascii="Times New Roman" w:hAnsi="Times New Roman" w:cs="Times New Roman"/>
          <w:sz w:val="24"/>
        </w:rPr>
        <w:t xml:space="preserve"> </w:t>
      </w:r>
      <w:r>
        <w:rPr>
          <w:rFonts w:ascii="Times New Roman" w:hAnsi="Times New Roman" w:cs="Times New Roman"/>
          <w:sz w:val="24"/>
          <w:szCs w:val="24"/>
        </w:rPr>
        <w:t xml:space="preserve">and contained 186 Kyoto Encyclopedia of Genes and Genomes (KEGG) pathways. Using GSVA, which is an unsupervised, non-parametric method for estimating variation in gene set enrichment based on expression data, we determined enrichment scores for the 186 KEGG pathways for each sample. Subsequently, we compared enrichment scores between samples with low or high scores for 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 signature using the </w:t>
      </w:r>
      <w:proofErr w:type="spellStart"/>
      <w:r>
        <w:rPr>
          <w:rFonts w:ascii="Times New Roman" w:hAnsi="Times New Roman" w:cs="Times New Roman"/>
          <w:sz w:val="24"/>
          <w:szCs w:val="24"/>
        </w:rPr>
        <w:t>limma</w:t>
      </w:r>
      <w:proofErr w:type="spellEnd"/>
      <w:r>
        <w:rPr>
          <w:rFonts w:ascii="Times New Roman" w:hAnsi="Times New Roman" w:cs="Times New Roman"/>
          <w:sz w:val="24"/>
          <w:szCs w:val="24"/>
        </w:rPr>
        <w:t xml:space="preserve"> package</w:t>
      </w:r>
      <w:r>
        <w:rPr>
          <w:rFonts w:ascii="Times New Roman" w:hAnsi="Times New Roman" w:cs="Times New Roman"/>
          <w:sz w:val="24"/>
        </w:rPr>
        <w:t xml:space="preserve"> </w:t>
      </w:r>
      <w:r>
        <w:rPr>
          <w:rFonts w:ascii="Times New Roman" w:hAnsi="Times New Roman" w:cs="Times New Roman"/>
          <w:sz w:val="24"/>
          <w:szCs w:val="24"/>
        </w:rPr>
        <w:t>in order to explore related biological functions. Functions associated with P &lt; 0.05 after adjustment for the false discovery rate were considered significant.</w:t>
      </w:r>
    </w:p>
    <w:p w:rsidR="005E0DB5" w:rsidRDefault="005E0DB5" w:rsidP="005E0DB5">
      <w:pPr>
        <w:spacing w:line="360" w:lineRule="auto"/>
        <w:rPr>
          <w:rFonts w:ascii="Times New Roman" w:hAnsi="Times New Roman" w:cs="Times New Roman"/>
          <w:sz w:val="24"/>
          <w:szCs w:val="24"/>
        </w:rPr>
      </w:pPr>
    </w:p>
    <w:p w:rsidR="005E0DB5" w:rsidRDefault="005E0DB5" w:rsidP="005E0DB5">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The explorer of interaction with the signature </w:t>
      </w:r>
      <w:proofErr w:type="spellStart"/>
      <w:r>
        <w:rPr>
          <w:rFonts w:ascii="Times New Roman" w:hAnsi="Times New Roman" w:cs="Times New Roman"/>
          <w:b/>
          <w:bCs/>
          <w:sz w:val="24"/>
          <w:szCs w:val="24"/>
        </w:rPr>
        <w:t>lncRNA</w:t>
      </w:r>
      <w:proofErr w:type="spellEnd"/>
      <w:r>
        <w:rPr>
          <w:rFonts w:ascii="Times New Roman" w:hAnsi="Times New Roman" w:cs="Times New Roman"/>
          <w:b/>
          <w:bCs/>
          <w:sz w:val="24"/>
          <w:szCs w:val="24"/>
        </w:rPr>
        <w:t xml:space="preserve"> and proteins</w:t>
      </w:r>
    </w:p>
    <w:p w:rsidR="005E0DB5" w:rsidRDefault="005E0DB5" w:rsidP="005E0DB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lncRNA</w:t>
      </w:r>
      <w:proofErr w:type="spellEnd"/>
      <w:r>
        <w:rPr>
          <w:rFonts w:ascii="Times New Roman" w:hAnsi="Times New Roman" w:cs="Times New Roman"/>
          <w:sz w:val="24"/>
          <w:szCs w:val="24"/>
        </w:rPr>
        <w:t xml:space="preserve">-protein interactions were obtained based on the </w:t>
      </w:r>
      <w:proofErr w:type="spellStart"/>
      <w:r>
        <w:rPr>
          <w:rFonts w:ascii="Times New Roman" w:hAnsi="Times New Roman" w:cs="Times New Roman"/>
          <w:sz w:val="24"/>
          <w:szCs w:val="24"/>
        </w:rPr>
        <w:t>RNAInter</w:t>
      </w:r>
      <w:proofErr w:type="spellEnd"/>
      <w:r>
        <w:rPr>
          <w:rFonts w:ascii="Times New Roman" w:hAnsi="Times New Roman" w:cs="Times New Roman"/>
          <w:sz w:val="24"/>
          <w:szCs w:val="24"/>
        </w:rPr>
        <w:t xml:space="preserve"> database</w:t>
      </w:r>
      <w:r>
        <w:rPr>
          <w:rFonts w:ascii="Times New Roman" w:hAnsi="Times New Roman" w:cs="Times New Roman"/>
          <w:sz w:val="24"/>
        </w:rPr>
        <w:t xml:space="preserve"> </w:t>
      </w:r>
      <w:r>
        <w:rPr>
          <w:rFonts w:ascii="Times New Roman" w:hAnsi="Times New Roman" w:cs="Times New Roman"/>
          <w:sz w:val="24"/>
        </w:rPr>
        <w:fldChar w:fldCharType="begin">
          <w:fldData xml:space="preserve">PEVuZE5vdGU+PENpdGU+PEF1dGhvcj5MaW48L0F1dGhvcj48WWVhcj4yMDIwPC9ZZWFyPjxSZWNO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PEVuZE5vdGU+PENpdGU+PEF1dGhvcj5MaW48L0F1dGhvcj48WWVhcj4yMDIwPC9ZZWFyPjxSZWNO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(30)</w:t>
      </w:r>
      <w:r>
        <w:rPr>
          <w:rFonts w:ascii="Times New Roman" w:hAnsi="Times New Roman" w:cs="Times New Roman"/>
          <w:sz w:val="24"/>
        </w:rPr>
        <w:fldChar w:fldCharType="end"/>
      </w:r>
      <w:r>
        <w:rPr>
          <w:rFonts w:ascii="Times New Roman" w:hAnsi="Times New Roman" w:cs="Times New Roman"/>
          <w:sz w:val="24"/>
          <w:szCs w:val="24"/>
        </w:rPr>
        <w:t xml:space="preserve">. And the interaction probabilities were evaluated through </w:t>
      </w:r>
      <w:proofErr w:type="spellStart"/>
      <w:r>
        <w:rPr>
          <w:rFonts w:ascii="Times New Roman" w:hAnsi="Times New Roman" w:cs="Times New Roman"/>
          <w:sz w:val="24"/>
          <w:szCs w:val="24"/>
        </w:rPr>
        <w:t>RPISeq</w:t>
      </w:r>
      <w:proofErr w:type="spellEnd"/>
      <w:r>
        <w:rPr>
          <w:rFonts w:ascii="Times New Roman" w:hAnsi="Times New Roman" w:cs="Times New Roman"/>
          <w:sz w:val="24"/>
          <w:szCs w:val="24"/>
        </w:rPr>
        <w:t xml:space="preserve"> database (http://pridb.gdcb.iastate.edu/RPISeq/). Interaction probabilities generated by </w:t>
      </w:r>
      <w:proofErr w:type="spellStart"/>
      <w:r>
        <w:rPr>
          <w:rFonts w:ascii="Times New Roman" w:hAnsi="Times New Roman" w:cs="Times New Roman"/>
          <w:sz w:val="24"/>
          <w:szCs w:val="24"/>
        </w:rPr>
        <w:t>RPISeq</w:t>
      </w:r>
      <w:proofErr w:type="spellEnd"/>
      <w:r>
        <w:rPr>
          <w:rFonts w:ascii="Times New Roman" w:hAnsi="Times New Roman" w:cs="Times New Roman"/>
          <w:sz w:val="24"/>
          <w:szCs w:val="24"/>
        </w:rPr>
        <w:t xml:space="preserve"> range from 0 t</w:t>
      </w:r>
      <w:r>
        <w:rPr>
          <w:rFonts w:ascii="Times New Roman" w:hAnsi="Times New Roman" w:cs="Times New Roman" w:hint="eastAsia"/>
          <w:sz w:val="24"/>
          <w:szCs w:val="24"/>
        </w:rPr>
        <w:t xml:space="preserve">o 1. The predictions with probability </w:t>
      </w:r>
      <w:r>
        <w:rPr>
          <w:rFonts w:ascii="Times New Roman" w:hAnsi="Times New Roman" w:cs="Times New Roman" w:hint="eastAsia"/>
          <w:sz w:val="24"/>
          <w:szCs w:val="24"/>
        </w:rPr>
        <w:t>＞</w:t>
      </w:r>
      <w:r>
        <w:rPr>
          <w:rFonts w:ascii="Times New Roman" w:hAnsi="Times New Roman" w:cs="Times New Roman" w:hint="eastAsia"/>
          <w:sz w:val="24"/>
          <w:szCs w:val="24"/>
        </w:rPr>
        <w:t xml:space="preserve"> 0.5  indicated that the corresponding RNA and protein were likely to interaction. In order to clarify the targeted binding ability of </w:t>
      </w:r>
      <w:proofErr w:type="spellStart"/>
      <w:r>
        <w:rPr>
          <w:rFonts w:ascii="Times New Roman" w:hAnsi="Times New Roman" w:cs="Times New Roman" w:hint="eastAsia"/>
          <w:sz w:val="24"/>
          <w:szCs w:val="24"/>
        </w:rPr>
        <w:t>lncRNA</w:t>
      </w:r>
      <w:proofErr w:type="spellEnd"/>
      <w:r>
        <w:rPr>
          <w:rFonts w:ascii="Times New Roman" w:hAnsi="Times New Roman" w:cs="Times New Roman" w:hint="eastAsia"/>
          <w:sz w:val="24"/>
          <w:szCs w:val="24"/>
        </w:rPr>
        <w:t>-protein, We downloaded the PDB files of protein from the Protein Database (</w:t>
      </w:r>
      <w:hyperlink r:id="rId6" w:history="1">
        <w:r>
          <w:rPr>
            <w:rStyle w:val="a7"/>
            <w:rFonts w:ascii="Times New Roman" w:hAnsi="Times New Roman" w:cs="Times New Roman" w:hint="eastAsia"/>
            <w:sz w:val="24"/>
            <w:szCs w:val="24"/>
          </w:rPr>
          <w:t>https://www.rcsb.org</w:t>
        </w:r>
      </w:hyperlink>
      <w:r>
        <w:rPr>
          <w:rFonts w:ascii="Times New Roman" w:hAnsi="Times New Roman" w:cs="Times New Roman" w:hint="eastAsia"/>
          <w:sz w:val="24"/>
          <w:szCs w:val="24"/>
        </w:rPr>
        <w:t xml:space="preserve">). In addition, The three-dimensional structure of </w:t>
      </w:r>
      <w:proofErr w:type="spellStart"/>
      <w:r>
        <w:rPr>
          <w:rFonts w:ascii="Times New Roman" w:hAnsi="Times New Roman" w:cs="Times New Roman" w:hint="eastAsia"/>
          <w:sz w:val="24"/>
          <w:szCs w:val="24"/>
        </w:rPr>
        <w:t>lncRNA</w:t>
      </w:r>
      <w:proofErr w:type="spellEnd"/>
      <w:r>
        <w:rPr>
          <w:rFonts w:ascii="Times New Roman" w:hAnsi="Times New Roman" w:cs="Times New Roman" w:hint="eastAsia"/>
          <w:sz w:val="24"/>
          <w:szCs w:val="24"/>
        </w:rPr>
        <w:t xml:space="preserve"> was predicted using RNA Composer (</w:t>
      </w:r>
      <w:hyperlink r:id="rId7" w:tgtFrame="https://link.springer.com/protocol/10.1007/_blank" w:history="1">
        <w:r>
          <w:rPr>
            <w:rFonts w:ascii="Times New Roman" w:hAnsi="Times New Roman" w:cs="Times New Roman" w:hint="eastAsia"/>
            <w:sz w:val="24"/>
            <w:szCs w:val="24"/>
            <w:lang w:val="en-GB"/>
          </w:rPr>
          <w:t>http://rnacomposer.cs.put.poznan.pl</w:t>
        </w:r>
      </w:hyperlink>
      <w:r>
        <w:rPr>
          <w:rFonts w:ascii="Times New Roman" w:hAnsi="Times New Roman" w:cs="Times New Roman" w:hint="eastAsia"/>
          <w:sz w:val="24"/>
          <w:szCs w:val="24"/>
        </w:rPr>
        <w:t xml:space="preserve">). </w:t>
      </w:r>
      <w:r>
        <w:rPr>
          <w:rFonts w:ascii="Times New Roman" w:hAnsi="Times New Roman" w:cs="Times New Roman" w:hint="eastAsia"/>
          <w:sz w:val="24"/>
          <w:szCs w:val="24"/>
          <w:lang w:val="en-GB"/>
        </w:rPr>
        <w:t>Molecular docking was performed using Hex8.0.0 software</w:t>
      </w:r>
      <w:r>
        <w:rPr>
          <w:rFonts w:ascii="Times New Roman" w:hAnsi="Times New Roman" w:cs="Times New Roman" w:hint="eastAsia"/>
          <w:sz w:val="24"/>
          <w:szCs w:val="24"/>
        </w:rPr>
        <w:t xml:space="preserve">, and the results were visualized with </w:t>
      </w:r>
      <w:proofErr w:type="spellStart"/>
      <w:r>
        <w:rPr>
          <w:rFonts w:ascii="Times New Roman" w:hAnsi="Times New Roman" w:cs="Times New Roman" w:hint="eastAsia"/>
          <w:sz w:val="24"/>
          <w:szCs w:val="24"/>
        </w:rPr>
        <w:t>Pymol</w:t>
      </w:r>
      <w:proofErr w:type="spellEnd"/>
      <w:r>
        <w:rPr>
          <w:rFonts w:ascii="Times New Roman" w:hAnsi="Times New Roman" w:cs="Times New Roman" w:hint="eastAsia"/>
          <w:sz w:val="24"/>
          <w:szCs w:val="24"/>
        </w:rPr>
        <w:t xml:space="preserve"> software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&lt;EndNote&gt;&lt;Cite&gt;&lt;Author&gt;Mooers&lt;/Author&gt;&lt;Year&gt;2020&lt;/Year&gt;&lt;RecNum&gt;146&lt;/RecNum&gt;&lt;DisplayText&gt;(33)&lt;/DisplayText&gt;&lt;record&gt;&lt;rec-number&gt;146&lt;/rec-number&gt;&lt;foreign-keys&gt;&lt;key app="EN" db-id="zep920ewrxpvv0eaxe9p5f2edaptrerdezwz" timestamp="1636603324"&gt;146&lt;/key&gt;&lt;/foreign-keys&gt;&lt;ref-type name="Journal Article"&gt;17&lt;/ref-type&gt;&lt;contributors&gt;&lt;authors&gt;&lt;author&gt;Mooers, B. H. M.&lt;/author&gt;&lt;/authors&gt;&lt;/contributors&gt;&lt;auth-address&gt;Department of Biochemistry and Molecular Biology, University of Oklahoma Health Sciences Center, Oklahoma City, Oklahoma.&amp;#xD;Stephenson Cancer Center, University of Oklahoma Health Sciences Center, Oklahoma City, Oklahoma.&lt;/auth-address&gt;&lt;titles&gt;&lt;title&gt;Shortcuts for faster image creation in PyMOL&lt;/title&gt;&lt;secondary-title&gt;Protein Sci&lt;/secondary-title&gt;&lt;/titles&gt;&lt;periodical&gt;&lt;full-title&gt;Protein Sci&lt;/full-title&gt;&lt;/periodical&gt;&lt;pages&gt;268-276&lt;/pages&gt;&lt;volume&gt;29&lt;/volume&gt;&lt;number&gt;1&lt;/number&gt;&lt;edition&gt;2019/11/12&lt;/edition&gt;&lt;keywords&gt;&lt;keyword&gt;Computational Biology/*methods&lt;/keyword&gt;&lt;keyword&gt;Models, Molecular&lt;/keyword&gt;&lt;keyword&gt;Protein Conformation&lt;/keyword&gt;&lt;keyword&gt;Proteins/*chemistry&lt;/keyword&gt;&lt;keyword&gt;Software&lt;/keyword&gt;&lt;keyword&gt;User-Computer Interface&lt;/keyword&gt;&lt;keyword&gt;* PyMOL scripting language&lt;/keyword&gt;&lt;keyword&gt;*Python scripting&lt;/keyword&gt;&lt;keyword&gt;*macros&lt;/keyword&gt;&lt;keyword&gt;*molecular artwork&lt;/keyword&gt;&lt;keyword&gt;*molecular graphics&lt;/keyword&gt;&lt;keyword&gt;*molecular illustration&lt;/keyword&gt;&lt;keyword&gt;*molecular visualization&lt;/keyword&gt;&lt;keyword&gt;*scientific illustration&lt;/keyword&gt;&lt;keyword&gt;*shortcuts&lt;/keyword&gt;&lt;keyword&gt;*visual narratives&lt;/keyword&gt;&lt;/keywords&gt;&lt;dates&gt;&lt;year&gt;2020&lt;/year&gt;&lt;pub-dates&gt;&lt;date&gt;Jan&lt;/date&gt;&lt;/pub-dates&gt;&lt;/dates&gt;&lt;isbn&gt;1469-896X (Electronic)&amp;#xD;0961-8368 (Linking)&lt;/isbn&gt;&lt;accession-num&gt;31710740&lt;/accession-num&gt;&lt;urls&gt;&lt;related-urls&gt;&lt;url&gt;https://www.ncbi.nlm.nih.gov/pubmed/31710740&lt;/url&gt;&lt;/related-urls&gt;&lt;/urls&gt;&lt;custom2&gt;PMC6933860&lt;/custom2&gt;&lt;electronic-resource-num&gt;10.1002/pro.3781&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(33)</w:t>
      </w:r>
      <w:r>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p>
    <w:p w:rsidR="005E0DB5" w:rsidRDefault="005E0DB5" w:rsidP="005E0DB5">
      <w:pPr>
        <w:spacing w:line="360" w:lineRule="auto"/>
        <w:rPr>
          <w:rFonts w:ascii="Times New Roman" w:hAnsi="Times New Roman" w:cs="Times New Roman"/>
          <w:sz w:val="24"/>
          <w:szCs w:val="24"/>
        </w:rPr>
      </w:pPr>
    </w:p>
    <w:p w:rsidR="005E0DB5" w:rsidRDefault="005E0DB5" w:rsidP="005E0DB5">
      <w:pPr>
        <w:pStyle w:val="3"/>
        <w:spacing w:line="480" w:lineRule="auto"/>
        <w:rPr>
          <w:rFonts w:eastAsiaTheme="minorEastAsia"/>
        </w:rPr>
      </w:pPr>
      <w:r>
        <w:rPr>
          <w:rFonts w:eastAsiaTheme="minorEastAsia"/>
        </w:rPr>
        <w:lastRenderedPageBreak/>
        <w:t>Analysis of drug sensitivity</w:t>
      </w:r>
    </w:p>
    <w:p w:rsidR="005E0DB5" w:rsidRDefault="005E0DB5" w:rsidP="005E0DB5">
      <w:pPr>
        <w:spacing w:line="48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Drug sensitivity of </w:t>
      </w:r>
      <w:r>
        <w:rPr>
          <w:rFonts w:ascii="Times New Roman" w:hAnsi="Times New Roman" w:cs="Times New Roman"/>
          <w:sz w:val="24"/>
          <w:szCs w:val="24"/>
        </w:rPr>
        <w:t xml:space="preserve">DE </w:t>
      </w:r>
      <w:proofErr w:type="spellStart"/>
      <w:r>
        <w:rPr>
          <w:rFonts w:ascii="Times New Roman" w:hAnsi="Times New Roman" w:cs="Times New Roman"/>
          <w:sz w:val="24"/>
          <w:szCs w:val="24"/>
        </w:rPr>
        <w:t>lncRNAs</w:t>
      </w:r>
      <w:proofErr w:type="spellEnd"/>
      <w:r>
        <w:rPr>
          <w:rFonts w:ascii="Times New Roman" w:eastAsia="宋体" w:hAnsi="Times New Roman" w:cs="Times New Roman"/>
          <w:sz w:val="24"/>
          <w:szCs w:val="24"/>
        </w:rPr>
        <w:t xml:space="preserve"> in </w:t>
      </w:r>
      <w:proofErr w:type="spellStart"/>
      <w:r>
        <w:rPr>
          <w:rFonts w:ascii="Times New Roman" w:eastAsia="宋体" w:hAnsi="Times New Roman" w:cs="Times New Roman" w:hint="eastAsia"/>
          <w:sz w:val="24"/>
          <w:szCs w:val="24"/>
        </w:rPr>
        <w:t>TMB</w:t>
      </w:r>
      <w:r>
        <w:rPr>
          <w:rFonts w:ascii="Times New Roman" w:eastAsia="宋体" w:hAnsi="Times New Roman" w:cs="Times New Roman"/>
          <w:sz w:val="24"/>
          <w:szCs w:val="24"/>
          <w:vertAlign w:val="superscript"/>
        </w:rPr>
        <w:t>high</w:t>
      </w:r>
      <w:proofErr w:type="spellEnd"/>
      <w:r>
        <w:rPr>
          <w:rFonts w:ascii="Times New Roman" w:eastAsia="宋体" w:hAnsi="Times New Roman" w:cs="Times New Roman"/>
          <w:sz w:val="24"/>
          <w:szCs w:val="24"/>
        </w:rPr>
        <w:t xml:space="preserve"> and </w:t>
      </w:r>
      <w:proofErr w:type="spellStart"/>
      <w:r>
        <w:rPr>
          <w:rFonts w:ascii="Times New Roman" w:eastAsia="宋体" w:hAnsi="Times New Roman" w:cs="Times New Roman" w:hint="eastAsia"/>
          <w:sz w:val="24"/>
          <w:szCs w:val="24"/>
        </w:rPr>
        <w:t>TMB</w:t>
      </w:r>
      <w:r>
        <w:rPr>
          <w:rFonts w:ascii="Times New Roman" w:eastAsia="宋体" w:hAnsi="Times New Roman" w:cs="Times New Roman"/>
          <w:sz w:val="24"/>
          <w:szCs w:val="24"/>
          <w:vertAlign w:val="superscript"/>
        </w:rPr>
        <w:t>low</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COAD</w:t>
      </w:r>
      <w:r>
        <w:rPr>
          <w:rFonts w:ascii="Times New Roman" w:eastAsia="宋体" w:hAnsi="Times New Roman" w:cs="Times New Roman"/>
          <w:sz w:val="24"/>
          <w:szCs w:val="24"/>
        </w:rPr>
        <w:t xml:space="preserve"> samples was predicted (in terms of IC</w:t>
      </w:r>
      <w:r>
        <w:rPr>
          <w:rFonts w:ascii="Times New Roman" w:eastAsia="宋体" w:hAnsi="Times New Roman" w:cs="Times New Roman"/>
          <w:sz w:val="24"/>
          <w:szCs w:val="24"/>
          <w:vertAlign w:val="subscript"/>
        </w:rPr>
        <w:t>50</w:t>
      </w:r>
      <w:r>
        <w:rPr>
          <w:rFonts w:ascii="Times New Roman" w:eastAsia="宋体" w:hAnsi="Times New Roman" w:cs="Times New Roman"/>
          <w:sz w:val="24"/>
          <w:szCs w:val="24"/>
        </w:rPr>
        <w:t>) based on the Genomics of Drug Sensitivity in Cancer database (GDSC</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www.cancerRxgene.org).</w:t>
      </w:r>
    </w:p>
    <w:p w:rsidR="005C6D8B" w:rsidRPr="005E0DB5" w:rsidRDefault="00194264"/>
    <w:sectPr w:rsidR="005C6D8B" w:rsidRPr="005E0DB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4264" w:rsidRDefault="00194264" w:rsidP="005E0DB5">
      <w:r>
        <w:separator/>
      </w:r>
    </w:p>
  </w:endnote>
  <w:endnote w:type="continuationSeparator" w:id="0">
    <w:p w:rsidR="00194264" w:rsidRDefault="00194264" w:rsidP="005E0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4264" w:rsidRDefault="00194264" w:rsidP="005E0DB5">
      <w:r>
        <w:separator/>
      </w:r>
    </w:p>
  </w:footnote>
  <w:footnote w:type="continuationSeparator" w:id="0">
    <w:p w:rsidR="00194264" w:rsidRDefault="00194264" w:rsidP="005E0D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DB5" w:rsidRDefault="005E0DB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DB5"/>
    <w:rsid w:val="00194264"/>
    <w:rsid w:val="0042666F"/>
    <w:rsid w:val="005E0DB5"/>
    <w:rsid w:val="00E96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A3475"/>
  <w15:chartTrackingRefBased/>
  <w15:docId w15:val="{1E52668D-D8BF-4048-86CB-1B394D9E2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0DB5"/>
    <w:pPr>
      <w:widowControl w:val="0"/>
      <w:jc w:val="both"/>
    </w:pPr>
  </w:style>
  <w:style w:type="paragraph" w:styleId="3">
    <w:name w:val="heading 3"/>
    <w:basedOn w:val="a"/>
    <w:next w:val="a"/>
    <w:link w:val="30"/>
    <w:uiPriority w:val="9"/>
    <w:unhideWhenUsed/>
    <w:qFormat/>
    <w:rsid w:val="005E0DB5"/>
    <w:pPr>
      <w:keepNext/>
      <w:keepLines/>
      <w:spacing w:before="260" w:after="260" w:line="416" w:lineRule="auto"/>
      <w:outlineLvl w:val="2"/>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0D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0DB5"/>
    <w:rPr>
      <w:sz w:val="18"/>
      <w:szCs w:val="18"/>
    </w:rPr>
  </w:style>
  <w:style w:type="paragraph" w:styleId="a5">
    <w:name w:val="footer"/>
    <w:basedOn w:val="a"/>
    <w:link w:val="a6"/>
    <w:uiPriority w:val="99"/>
    <w:unhideWhenUsed/>
    <w:rsid w:val="005E0DB5"/>
    <w:pPr>
      <w:tabs>
        <w:tab w:val="center" w:pos="4153"/>
        <w:tab w:val="right" w:pos="8306"/>
      </w:tabs>
      <w:snapToGrid w:val="0"/>
      <w:jc w:val="left"/>
    </w:pPr>
    <w:rPr>
      <w:sz w:val="18"/>
      <w:szCs w:val="18"/>
    </w:rPr>
  </w:style>
  <w:style w:type="character" w:customStyle="1" w:styleId="a6">
    <w:name w:val="页脚 字符"/>
    <w:basedOn w:val="a0"/>
    <w:link w:val="a5"/>
    <w:uiPriority w:val="99"/>
    <w:rsid w:val="005E0DB5"/>
    <w:rPr>
      <w:sz w:val="18"/>
      <w:szCs w:val="18"/>
    </w:rPr>
  </w:style>
  <w:style w:type="character" w:customStyle="1" w:styleId="30">
    <w:name w:val="标题 3 字符"/>
    <w:basedOn w:val="a0"/>
    <w:link w:val="3"/>
    <w:uiPriority w:val="9"/>
    <w:rsid w:val="005E0DB5"/>
    <w:rPr>
      <w:rFonts w:ascii="Times New Roman" w:eastAsia="Times New Roman" w:hAnsi="Times New Roman" w:cs="Times New Roman"/>
      <w:b/>
      <w:bCs/>
      <w:sz w:val="24"/>
      <w:szCs w:val="24"/>
    </w:rPr>
  </w:style>
  <w:style w:type="character" w:styleId="a7">
    <w:name w:val="Hyperlink"/>
    <w:basedOn w:val="a0"/>
    <w:uiPriority w:val="99"/>
    <w:unhideWhenUsed/>
    <w:qFormat/>
    <w:rsid w:val="005E0D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rnacomposer.cs.put.poznan.pl/"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csb.org"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1487</Words>
  <Characters>8480</Characters>
  <Application>Microsoft Office Word</Application>
  <DocSecurity>0</DocSecurity>
  <Lines>70</Lines>
  <Paragraphs>19</Paragraphs>
  <ScaleCrop>false</ScaleCrop>
  <Company/>
  <LinksUpToDate>false</LinksUpToDate>
  <CharactersWithSpaces>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高星</dc:creator>
  <cp:keywords/>
  <dc:description/>
  <cp:lastModifiedBy>高星</cp:lastModifiedBy>
  <cp:revision>1</cp:revision>
  <dcterms:created xsi:type="dcterms:W3CDTF">2021-12-02T09:57:00Z</dcterms:created>
  <dcterms:modified xsi:type="dcterms:W3CDTF">2021-12-02T09:59:00Z</dcterms:modified>
</cp:coreProperties>
</file>