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916C2" w14:textId="77777777" w:rsidR="00D06C96" w:rsidRDefault="00D06C96" w:rsidP="00D06C96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6D45EA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FCBF718" wp14:editId="4ED35379">
            <wp:extent cx="5943600" cy="68199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D45EA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6DEA58B" w14:textId="2A0AEA51" w:rsidR="002A0F11" w:rsidRDefault="00D06C96" w:rsidP="00D06C96">
      <w:r>
        <w:rPr>
          <w:rFonts w:ascii="Times New Roman" w:hAnsi="Times New Roman" w:cs="Times New Roman"/>
          <w:b/>
          <w:bCs/>
          <w:sz w:val="22"/>
          <w:szCs w:val="22"/>
        </w:rPr>
        <w:t>Table 1: Baseline characteristics of pre-diagnosis breast cancer cases (n=78) and cancer-free control (n=72) samples at the time of blood collection.</w:t>
      </w:r>
    </w:p>
    <w:sectPr w:rsidR="002A0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96"/>
    <w:rsid w:val="002A0F11"/>
    <w:rsid w:val="00D0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1454B"/>
  <w15:chartTrackingRefBased/>
  <w15:docId w15:val="{BB5B2AB5-C332-43E2-893A-E3FCAC8AF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C96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2022-01-07T20:21:00Z</dcterms:created>
  <dcterms:modified xsi:type="dcterms:W3CDTF">2022-01-07T20:21:00Z</dcterms:modified>
</cp:coreProperties>
</file>