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19298" w14:textId="52F85BEF" w:rsidR="00933760" w:rsidRDefault="00933760"/>
    <w:p w14:paraId="2C43CF21" w14:textId="77777777" w:rsidR="00A40B9D" w:rsidRDefault="00A40B9D" w:rsidP="00A40B9D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Materials</w:t>
      </w:r>
    </w:p>
    <w:p w14:paraId="1CEBD35E" w14:textId="1E187413" w:rsidR="005569EC" w:rsidRPr="00D118FF" w:rsidRDefault="005569E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27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77"/>
        <w:gridCol w:w="3174"/>
        <w:gridCol w:w="3175"/>
        <w:gridCol w:w="3174"/>
      </w:tblGrid>
      <w:tr w:rsidR="005569EC" w:rsidRPr="00D118FF" w14:paraId="1A3D8335" w14:textId="77777777" w:rsidTr="00C13394">
        <w:trPr>
          <w:trHeight w:val="445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D8A3F" w14:textId="32EE6DD0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Topic/research question: intravoxel incoherent motion imaging assessing in cervical carcinoma after concurrent chemo</w:t>
            </w:r>
            <w:r w:rsidR="000552E6"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radio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therapy(CCRT) treatment response</w:t>
            </w:r>
          </w:p>
        </w:tc>
      </w:tr>
      <w:tr w:rsidR="005569EC" w:rsidRPr="00D118FF" w14:paraId="449E541D" w14:textId="77777777" w:rsidTr="00C13394">
        <w:trPr>
          <w:trHeight w:val="178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F4672" w14:textId="1A3F6122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Names of researchers: Lan</w:t>
            </w:r>
            <w:r w:rsidR="00AB0DC3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hui Qin, Feng</w:t>
            </w:r>
            <w:r w:rsidR="00AB0DC3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yi He</w:t>
            </w:r>
          </w:p>
        </w:tc>
      </w:tr>
      <w:tr w:rsidR="005569EC" w:rsidRPr="00D118FF" w14:paraId="12EBE357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DA81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54B3F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9D22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CF4E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FE76DB4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D348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 Databases:</w:t>
            </w:r>
          </w:p>
        </w:tc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51A8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Total number of hits:</w:t>
            </w:r>
          </w:p>
        </w:tc>
      </w:tr>
      <w:tr w:rsidR="005569EC" w:rsidRPr="00D118FF" w14:paraId="5735E9A0" w14:textId="77777777" w:rsidTr="00C13394">
        <w:trPr>
          <w:trHeight w:val="178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8893B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1. pubmed </w:t>
            </w:r>
          </w:p>
        </w:tc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55334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• Before deduplication: 92</w:t>
            </w:r>
          </w:p>
        </w:tc>
      </w:tr>
      <w:tr w:rsidR="005569EC" w:rsidRPr="00D118FF" w14:paraId="410322F0" w14:textId="77777777" w:rsidTr="00C13394">
        <w:trPr>
          <w:trHeight w:val="178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0832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2. Embase </w:t>
            </w:r>
          </w:p>
        </w:tc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45BD1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• After deduplication: 44</w:t>
            </w:r>
          </w:p>
        </w:tc>
      </w:tr>
      <w:tr w:rsidR="005569EC" w:rsidRPr="00D118FF" w14:paraId="32B7EFF4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02C00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3. OVID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4DB8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6E0F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09D8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1AC6ED04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D280D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4. Cochrane Library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64E5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854B7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77EA2B56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F61BB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5346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720DE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49DE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B5CB98F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D7794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PubMed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153FC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FE80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61E1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651EF70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78A0D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time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2020-04-16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7EC2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BE020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BBF91C1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B5DED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F1674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D334F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64F5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3202BAA" w14:textId="77777777" w:rsidTr="00C13394">
        <w:trPr>
          <w:trHeight w:val="267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77353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、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(IVIM OR ((intra-voxel OR intravoxel) AND incoherent AND motion) OR biexponential OR non-mono-exponential) </w:t>
            </w:r>
          </w:p>
        </w:tc>
      </w:tr>
      <w:tr w:rsidR="005569EC" w:rsidRPr="00D118FF" w14:paraId="43FAAB61" w14:textId="77777777" w:rsidTr="00C13394">
        <w:trPr>
          <w:trHeight w:val="534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803E9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、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 ("Uterine Cervical Neoplasms"[Mesh] OR cervix cancer[tiab] OR cervical cancer[tiab] OR carcinoma cervix[tiab] OR cancer cervix[tiab] OR cervix carcinoma[tiab] OR cervical neoplasm[tiab] OR cervical carcinoma[tiab])</w:t>
            </w:r>
          </w:p>
        </w:tc>
      </w:tr>
      <w:tr w:rsidR="005569EC" w:rsidRPr="00D118FF" w14:paraId="175F42DA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D88C0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1 AND 2 Filters: Humans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3DF6E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3C77A3B8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45F0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E893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1DF5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1CB7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D0134AE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09D9D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Embase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B6CB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6C32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8C59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11611C0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ED698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time:2020-04-16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B67E7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DC4DC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86E4F90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3C6D1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 41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F387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6D0D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712F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2D1E719" w14:textId="77777777" w:rsidTr="00C13394">
        <w:trPr>
          <w:trHeight w:val="91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F2101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it-IT"/>
              </w:rPr>
              <w:t>1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it-IT"/>
              </w:rPr>
              <w:t>、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it-IT"/>
              </w:rPr>
              <w:t>'uterine cervix carcinoma'/exp</w:t>
            </w:r>
          </w:p>
        </w:tc>
      </w:tr>
      <w:tr w:rsidR="005569EC" w:rsidRPr="00D118FF" w14:paraId="270361CD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B8BB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、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'uterine cervix cancer'/exp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BB8F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172994C3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BC44C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3.'uterine cervix tumor'/exp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674BE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01CBD383" w14:textId="77777777" w:rsidTr="00C13394">
        <w:trPr>
          <w:trHeight w:val="445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CBA82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4.'cervix cancer':ab,ti OR 'cervical cancer':ab,ti OR 'carcinoma cervix':ab,ti OR 'cancer cervix':ab,ti OR 'cervix carcinoma':ab,ti OR 'cervical neoplasm':ab,ti OR 'cervical carcinoma':ab,ti</w:t>
            </w:r>
          </w:p>
        </w:tc>
      </w:tr>
      <w:tr w:rsidR="005569EC" w:rsidRPr="00D118FF" w14:paraId="65DA5397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E0A9B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5. 1 OR 2 OR 3 OR 4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990C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35902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20AF217" w14:textId="77777777" w:rsidTr="00C13394">
        <w:trPr>
          <w:trHeight w:val="267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5B059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6.(IVIM OR ((intra-voxel OR intravoxel) AND incoherent AND motion) OR biexponential OR non-mono-exponential) </w:t>
            </w:r>
          </w:p>
        </w:tc>
      </w:tr>
      <w:tr w:rsidR="005569EC" w:rsidRPr="00D118FF" w14:paraId="6475E2AF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63932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7. 5 AND 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CE8A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68FC2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31EF94E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65248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#5 AND #6 AND [humans]/lim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F4D8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4B160A45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F126E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2F1C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26E1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6E39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3A2D281B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4E0EB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Cochrane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567C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AC69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1300C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1B964AC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87570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time: 2020-04-16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E3D87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B36F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71D8A51A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7EF60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72E5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A5C42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22BD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2B2CA28" w14:textId="77777777" w:rsidTr="00C13394">
        <w:trPr>
          <w:trHeight w:val="178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2DA06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1.MeSH descriptor: [Uterine Cervical Neoplasms] explode all trees</w:t>
            </w:r>
          </w:p>
        </w:tc>
      </w:tr>
      <w:tr w:rsidR="005569EC" w:rsidRPr="00D118FF" w14:paraId="716935F7" w14:textId="77777777" w:rsidTr="00C13394">
        <w:trPr>
          <w:trHeight w:val="267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2404B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2.(Cervix OR cervical) ):ti,ab,kw OR (tumor):ti,ab,kw OR (cancer):ti,ab,kw OR (carcinoma):ti,ab,kw</w:t>
            </w:r>
          </w:p>
        </w:tc>
      </w:tr>
      <w:tr w:rsidR="005569EC" w:rsidRPr="00D118FF" w14:paraId="51F2E754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831D3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3.1 OR 2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C656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B4D6D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6381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9B12403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16FF5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nn-NO"/>
              </w:rPr>
              <w:t xml:space="preserve">4.(IVIM):ti,ab,kw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1002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0365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4C0125FA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F455C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it-IT"/>
              </w:rPr>
              <w:lastRenderedPageBreak/>
              <w:t xml:space="preserve">5. ('intra voxel'):ti,ab,kw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48BBA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616A6A5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AC5A1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it-IT"/>
              </w:rPr>
              <w:t>6. (intravoxel):ti,ab,kw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C9B37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B4BC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AE209EF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3FF3B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 xml:space="preserve">7. (incoherent):ti,ab,kw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3348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5169917A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40432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  <w:lang w:val="de-DE"/>
              </w:rPr>
              <w:t>8. (motion):ti,ab,kw)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1BAFF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F9165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72173A2A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EE19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9.3 OR ((4 OR 5) AND 6 AND 7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149C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6CD11B69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F6149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10.3 AND 9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3E318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BE4B1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7DF96B34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5856E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C913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BFD64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4BC5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3F6B6DDA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2ACCA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OVID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BA7CF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195A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6FF4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36E4D288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22D19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time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2020-04-16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8D6F3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AEAF7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1528AD73" w14:textId="77777777" w:rsidTr="00C13394">
        <w:trPr>
          <w:trHeight w:val="91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D8C38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：</w:t>
            </w: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29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8E789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7262C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030AF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20D09C4" w14:textId="77777777" w:rsidTr="00C13394">
        <w:trPr>
          <w:trHeight w:val="445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2E2A0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1.("Uterine Cervix cancer" or cervix cancer or cervical cancer or carcinoma cervix or cancer cervix or cervix carcinoma or cervical neoplasm or cervical carcinoma).ab,at,kf,sh.</w:t>
            </w:r>
          </w:p>
        </w:tc>
      </w:tr>
      <w:tr w:rsidR="005569EC" w:rsidRPr="00D118FF" w14:paraId="4BFF343E" w14:textId="77777777" w:rsidTr="00C13394">
        <w:trPr>
          <w:trHeight w:val="267"/>
        </w:trPr>
        <w:tc>
          <w:tcPr>
            <w:tcW w:w="12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C5E6C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2. (IVIM or ((intra-voxel or intravoxel) and incoherent and motion) OR biexponential OR non-mono-exponential).ab,at,kf.</w:t>
            </w:r>
          </w:p>
        </w:tc>
      </w:tr>
      <w:tr w:rsidR="005569EC" w:rsidRPr="00D118FF" w14:paraId="54D46EAB" w14:textId="77777777" w:rsidTr="00C13394">
        <w:trPr>
          <w:trHeight w:val="91"/>
        </w:trPr>
        <w:tc>
          <w:tcPr>
            <w:tcW w:w="6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414A7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3. 1 AND 2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91440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A9CF6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569EC" w:rsidRPr="00D118FF" w14:paraId="251F82CF" w14:textId="77777777" w:rsidTr="00C13394">
        <w:trPr>
          <w:trHeight w:val="91"/>
        </w:trPr>
        <w:tc>
          <w:tcPr>
            <w:tcW w:w="9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68623" w14:textId="77777777" w:rsidR="005569EC" w:rsidRPr="00D118FF" w:rsidRDefault="005569EC" w:rsidP="00C1339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118FF">
              <w:rPr>
                <w:rFonts w:ascii="Times New Roman" w:eastAsia="等线" w:hAnsi="Times New Roman" w:cs="Times New Roman"/>
                <w:color w:val="000000"/>
                <w:kern w:val="24"/>
                <w:sz w:val="24"/>
                <w:szCs w:val="24"/>
              </w:rPr>
              <w:t>4.remove duplicates from 3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4DBC2" w14:textId="77777777" w:rsidR="005569EC" w:rsidRPr="00D118FF" w:rsidRDefault="005569EC" w:rsidP="00C133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B29B5D9" w14:textId="775CAF10" w:rsidR="005569EC" w:rsidRPr="00D118FF" w:rsidRDefault="005569EC">
      <w:pPr>
        <w:rPr>
          <w:rFonts w:ascii="Times New Roman" w:hAnsi="Times New Roman" w:cs="Times New Roman"/>
          <w:sz w:val="24"/>
          <w:szCs w:val="24"/>
        </w:rPr>
      </w:pPr>
    </w:p>
    <w:p w14:paraId="39B4E2FD" w14:textId="6B74C638" w:rsidR="003B6CFA" w:rsidRPr="00D118FF" w:rsidRDefault="003B6CFA">
      <w:pPr>
        <w:rPr>
          <w:rFonts w:ascii="Times New Roman" w:hAnsi="Times New Roman" w:cs="Times New Roman"/>
          <w:sz w:val="24"/>
          <w:szCs w:val="24"/>
        </w:rPr>
      </w:pPr>
    </w:p>
    <w:p w14:paraId="79E54907" w14:textId="398093FE" w:rsidR="003B6CFA" w:rsidRPr="00D118FF" w:rsidRDefault="003B6CFA">
      <w:pPr>
        <w:rPr>
          <w:rFonts w:ascii="Times New Roman" w:hAnsi="Times New Roman" w:cs="Times New Roman"/>
          <w:sz w:val="24"/>
          <w:szCs w:val="24"/>
        </w:rPr>
      </w:pPr>
    </w:p>
    <w:p w14:paraId="14BA39BD" w14:textId="4745BF8E" w:rsidR="003B6CFA" w:rsidRDefault="003B6CFA"/>
    <w:p w14:paraId="59D297C1" w14:textId="7F14B9E6" w:rsidR="003B6CFA" w:rsidRDefault="003B6CFA"/>
    <w:p w14:paraId="592CB73F" w14:textId="237ECE1F" w:rsidR="003B6CFA" w:rsidRDefault="003B6CFA"/>
    <w:p w14:paraId="52B633C2" w14:textId="32EC71AB" w:rsidR="003B6CFA" w:rsidRDefault="003B6CFA"/>
    <w:p w14:paraId="33D17EF2" w14:textId="06FFCAE1" w:rsidR="003B6CFA" w:rsidRDefault="003B6CFA"/>
    <w:p w14:paraId="3127939A" w14:textId="56565921" w:rsidR="003B6CFA" w:rsidRDefault="003B6CFA"/>
    <w:tbl>
      <w:tblPr>
        <w:tblW w:w="31680" w:type="dxa"/>
        <w:tblInd w:w="-12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03"/>
        <w:gridCol w:w="1064"/>
        <w:gridCol w:w="1184"/>
        <w:gridCol w:w="1080"/>
        <w:gridCol w:w="1023"/>
        <w:gridCol w:w="1136"/>
        <w:gridCol w:w="2068"/>
        <w:gridCol w:w="1152"/>
        <w:gridCol w:w="1758"/>
        <w:gridCol w:w="2961"/>
        <w:gridCol w:w="2846"/>
        <w:gridCol w:w="2841"/>
        <w:gridCol w:w="2841"/>
        <w:gridCol w:w="2841"/>
        <w:gridCol w:w="2841"/>
        <w:gridCol w:w="2841"/>
      </w:tblGrid>
      <w:tr w:rsidR="00412AB0" w:rsidRPr="003B6CFA" w14:paraId="220B0328" w14:textId="2FF5C836" w:rsidTr="00412AB0">
        <w:trPr>
          <w:trHeight w:val="22"/>
        </w:trPr>
        <w:tc>
          <w:tcPr>
            <w:tcW w:w="5576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163FF" w14:textId="77777777" w:rsidR="00412AB0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 xml:space="preserve">S </w:t>
            </w: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1</w:t>
            </w: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. Results of MRI Technical Features</w:t>
            </w:r>
          </w:p>
          <w:p w14:paraId="133E0D6D" w14:textId="139FF6F2" w:rsidR="00412AB0" w:rsidRPr="007A7F58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5C1A0" w14:textId="77777777" w:rsidR="00412AB0" w:rsidRPr="003B6CFA" w:rsidRDefault="00412AB0" w:rsidP="003B6CFA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1E559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87973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7FCC2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858FE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30E7E30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E0B9E40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EC2DA89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446B016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6DDE846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A24ACAE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  <w:tr w:rsidR="00412AB0" w:rsidRPr="003B6CFA" w14:paraId="021C8FE1" w14:textId="2C0174BE" w:rsidTr="00412AB0">
        <w:trPr>
          <w:trHeight w:val="22"/>
        </w:trPr>
        <w:tc>
          <w:tcPr>
            <w:tcW w:w="5576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4EB2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EE86D" w14:textId="77777777" w:rsidR="00412AB0" w:rsidRPr="003B6CFA" w:rsidRDefault="00412AB0" w:rsidP="003B6CF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77796" w14:textId="77777777" w:rsidR="00412AB0" w:rsidRPr="003B6CFA" w:rsidRDefault="00412AB0" w:rsidP="003B6CF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3951A" w14:textId="77777777" w:rsidR="00412AB0" w:rsidRPr="003B6CFA" w:rsidRDefault="00412AB0" w:rsidP="003B6CF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BD798" w14:textId="77777777" w:rsidR="00412AB0" w:rsidRPr="003B6CFA" w:rsidRDefault="00412AB0" w:rsidP="003B6CF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AB131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EE85538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21A2806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07E507D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8E28AE1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5F68771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DB6FE1E" w14:textId="77777777" w:rsidR="00412AB0" w:rsidRPr="00C13394" w:rsidRDefault="00412AB0" w:rsidP="003B6CFA">
            <w:pPr>
              <w:widowControl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</w:pPr>
          </w:p>
        </w:tc>
      </w:tr>
      <w:tr w:rsidR="00412AB0" w:rsidRPr="003B6CFA" w14:paraId="56C8890A" w14:textId="403F6ABD" w:rsidTr="00412AB0">
        <w:trPr>
          <w:trHeight w:val="183"/>
        </w:trPr>
        <w:tc>
          <w:tcPr>
            <w:tcW w:w="120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84D9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First Author</w:t>
            </w:r>
          </w:p>
        </w:tc>
        <w:tc>
          <w:tcPr>
            <w:tcW w:w="10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5125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Year</w:t>
            </w:r>
          </w:p>
        </w:tc>
        <w:tc>
          <w:tcPr>
            <w:tcW w:w="11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E645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Journal</w:t>
            </w:r>
          </w:p>
        </w:tc>
        <w:tc>
          <w:tcPr>
            <w:tcW w:w="108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BF5F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Magnetic field strength</w:t>
            </w:r>
          </w:p>
        </w:tc>
        <w:tc>
          <w:tcPr>
            <w:tcW w:w="102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7931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 xml:space="preserve">Type of coil </w:t>
            </w:r>
          </w:p>
        </w:tc>
        <w:tc>
          <w:tcPr>
            <w:tcW w:w="113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3BAF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Spasmolytic drugs OR taking claster</w:t>
            </w:r>
          </w:p>
        </w:tc>
        <w:tc>
          <w:tcPr>
            <w:tcW w:w="206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78F9C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5"/>
              </w:rPr>
              <w:t>Intravenous contrast agent (type, concentration)</w:t>
            </w:r>
          </w:p>
        </w:tc>
        <w:tc>
          <w:tcPr>
            <w:tcW w:w="115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D284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Examination time IVIM</w:t>
            </w:r>
          </w:p>
        </w:tc>
        <w:tc>
          <w:tcPr>
            <w:tcW w:w="17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E955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 xml:space="preserve">Conventional Sequences </w:t>
            </w: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position w:val="1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29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30B6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 xml:space="preserve">IVIM </w:t>
            </w:r>
            <w:r w:rsidRPr="003B6CF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position w:val="1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5BEEA415" w14:textId="29E47393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  <w:t>IVIM model</w:t>
            </w: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6D19A82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0C54909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33B181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D1714A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6980014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2F8E6939" w14:textId="6EBE5DAE" w:rsidTr="00412AB0">
        <w:trPr>
          <w:trHeight w:val="355"/>
        </w:trPr>
        <w:tc>
          <w:tcPr>
            <w:tcW w:w="120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E27B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C. Xu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569B8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2019</w:t>
            </w:r>
          </w:p>
        </w:tc>
        <w:tc>
          <w:tcPr>
            <w:tcW w:w="11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5AF6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European journal of radiology</w:t>
            </w:r>
          </w:p>
        </w:tc>
        <w:tc>
          <w:tcPr>
            <w:tcW w:w="108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7E4E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558D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F2C8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BA51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819E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76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56FA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T2W FSE ax &amp;sag (ax:TR/TE 498.0/79.0ms, FOV= 36 cm ST= 6 mm; sag:TR/TE 4323.0/65.0ms, FOV 24 cm ST= 6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-T1W FSE ax (TR/TE500.0/8.0ms, FOV= 26 cm ST= 6 mm)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6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94C3C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IVIM sequence ax(TR/TE = 6900.0/ minimum ms,  FOV =40 cm , ST= = 8 mm,   b-values=0,10, 25, 50, 75,100,125,150, 200, 300, 400, 600, 800, and 1,000)</w:t>
            </w: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81CC856" w14:textId="1AE37AB9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33E42E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699E34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8B0CD3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1BDC08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790A79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428438BB" w14:textId="6379C81B" w:rsidTr="00412AB0">
        <w:trPr>
          <w:trHeight w:val="603"/>
        </w:trPr>
        <w:tc>
          <w:tcPr>
            <w:tcW w:w="1209" w:type="dxa"/>
            <w:vAlign w:val="center"/>
            <w:hideMark/>
          </w:tcPr>
          <w:p w14:paraId="056777D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H. Kato</w:t>
            </w:r>
          </w:p>
        </w:tc>
        <w:tc>
          <w:tcPr>
            <w:tcW w:w="1070" w:type="dxa"/>
            <w:vAlign w:val="center"/>
            <w:hideMark/>
          </w:tcPr>
          <w:p w14:paraId="6D6E300D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2019</w:t>
            </w:r>
          </w:p>
        </w:tc>
        <w:tc>
          <w:tcPr>
            <w:tcW w:w="1187" w:type="dxa"/>
            <w:vAlign w:val="center"/>
            <w:hideMark/>
          </w:tcPr>
          <w:p w14:paraId="3736499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Magnetic resonance in medical sciences : MRMS: an official journal of Japan Society of Magnetic Resonance in Medicine</w:t>
            </w:r>
          </w:p>
        </w:tc>
        <w:tc>
          <w:tcPr>
            <w:tcW w:w="1083" w:type="dxa"/>
            <w:vAlign w:val="center"/>
            <w:hideMark/>
          </w:tcPr>
          <w:p w14:paraId="38B25B8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vAlign w:val="center"/>
            <w:hideMark/>
          </w:tcPr>
          <w:p w14:paraId="2D6F42C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vAlign w:val="center"/>
            <w:hideMark/>
          </w:tcPr>
          <w:p w14:paraId="2061D79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vAlign w:val="center"/>
            <w:hideMark/>
          </w:tcPr>
          <w:p w14:paraId="649862AB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154" w:type="dxa"/>
            <w:vAlign w:val="center"/>
            <w:hideMark/>
          </w:tcPr>
          <w:p w14:paraId="450E176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3.1min</w:t>
            </w:r>
          </w:p>
        </w:tc>
        <w:tc>
          <w:tcPr>
            <w:tcW w:w="1761" w:type="dxa"/>
            <w:vAlign w:val="center"/>
            <w:hideMark/>
          </w:tcPr>
          <w:p w14:paraId="48A4D01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宋体" w:hAnsi="Times New Roman" w:cs="Times New Roman"/>
                <w:color w:val="000000"/>
                <w:kern w:val="24"/>
                <w:sz w:val="15"/>
              </w:rPr>
              <w:t xml:space="preserve"> T2W FSE ax (TR/TE 5216.0/100.0ms; FOV=26 cm, ST= 5 mm)</w:t>
            </w:r>
          </w:p>
        </w:tc>
        <w:tc>
          <w:tcPr>
            <w:tcW w:w="2961" w:type="dxa"/>
            <w:vAlign w:val="center"/>
            <w:hideMark/>
          </w:tcPr>
          <w:p w14:paraId="75CFDDF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SS EPI fat suppression and parallel technique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>Ax  plane (TR/TE 4800.0/65.0ms   FOV 26 cm, ST= 5 mm, b-values=0, 50, 100, 200, 400 and 800 )</w:t>
            </w:r>
          </w:p>
        </w:tc>
        <w:tc>
          <w:tcPr>
            <w:tcW w:w="2860" w:type="dxa"/>
          </w:tcPr>
          <w:p w14:paraId="51FEB0DD" w14:textId="7D3C361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</w:p>
        </w:tc>
        <w:tc>
          <w:tcPr>
            <w:tcW w:w="2860" w:type="dxa"/>
          </w:tcPr>
          <w:p w14:paraId="32D3EE32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0765BAD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64BCEF2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3F2F24A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0E9DD5B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44A9D259" w14:textId="581C860D" w:rsidTr="00412AB0">
        <w:trPr>
          <w:trHeight w:val="421"/>
        </w:trPr>
        <w:tc>
          <w:tcPr>
            <w:tcW w:w="1209" w:type="dxa"/>
            <w:vAlign w:val="center"/>
            <w:hideMark/>
          </w:tcPr>
          <w:p w14:paraId="658147A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H. Bian</w:t>
            </w:r>
          </w:p>
        </w:tc>
        <w:tc>
          <w:tcPr>
            <w:tcW w:w="1070" w:type="dxa"/>
            <w:vAlign w:val="center"/>
            <w:hideMark/>
          </w:tcPr>
          <w:p w14:paraId="2BA6DD30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2019</w:t>
            </w:r>
          </w:p>
        </w:tc>
        <w:tc>
          <w:tcPr>
            <w:tcW w:w="1187" w:type="dxa"/>
            <w:vAlign w:val="center"/>
            <w:hideMark/>
          </w:tcPr>
          <w:p w14:paraId="3B80362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Medicine (Baltimore)</w:t>
            </w:r>
          </w:p>
        </w:tc>
        <w:tc>
          <w:tcPr>
            <w:tcW w:w="1083" w:type="dxa"/>
            <w:vAlign w:val="center"/>
            <w:hideMark/>
          </w:tcPr>
          <w:p w14:paraId="40AA6D7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vAlign w:val="center"/>
            <w:hideMark/>
          </w:tcPr>
          <w:p w14:paraId="6535DB92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vAlign w:val="center"/>
            <w:hideMark/>
          </w:tcPr>
          <w:p w14:paraId="5E35677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vAlign w:val="center"/>
            <w:hideMark/>
          </w:tcPr>
          <w:p w14:paraId="41CF7B5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154" w:type="dxa"/>
            <w:vAlign w:val="center"/>
            <w:hideMark/>
          </w:tcPr>
          <w:p w14:paraId="4FBB0E5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1761" w:type="dxa"/>
            <w:vAlign w:val="center"/>
            <w:hideMark/>
          </w:tcPr>
          <w:p w14:paraId="5622351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T2W FSE ax , sag,cor (ax:TR/TE 4000.0/130.0ms,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FOV 26 cm ST 5 mm;  sag: TR/TE 3500.0/130.0ms, FOV 26 cm ST 6 mm; cor: TR/TE 4000.0/130.0ms, FOV 30 cm ST 6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-T1W FSE ax (TR/TE450.0/10.0ms, FOV   26cm ST= 6 mm)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61" w:type="dxa"/>
            <w:vAlign w:val="center"/>
            <w:hideMark/>
          </w:tcPr>
          <w:p w14:paraId="795B752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SS EPI fat suppression and parallel technique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Ax  plane (TR/TE 3500.0/minimum ms  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FOV 26 cm, ST= 5 mm, b-values=0, 50, 200, 450, and 850 )</w:t>
            </w:r>
          </w:p>
        </w:tc>
        <w:tc>
          <w:tcPr>
            <w:tcW w:w="2860" w:type="dxa"/>
          </w:tcPr>
          <w:p w14:paraId="594F7FE1" w14:textId="166FF529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3-parameter with fixed S0</w:t>
            </w:r>
          </w:p>
        </w:tc>
        <w:tc>
          <w:tcPr>
            <w:tcW w:w="2860" w:type="dxa"/>
          </w:tcPr>
          <w:p w14:paraId="59E9CEC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79AF762C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5B555EC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7523098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5C319A8B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60C64E5E" w14:textId="7602B550" w:rsidTr="00412AB0">
        <w:trPr>
          <w:trHeight w:val="399"/>
        </w:trPr>
        <w:tc>
          <w:tcPr>
            <w:tcW w:w="1209" w:type="dxa"/>
            <w:vAlign w:val="center"/>
            <w:hideMark/>
          </w:tcPr>
          <w:p w14:paraId="41F78C4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J. Li</w:t>
            </w:r>
          </w:p>
        </w:tc>
        <w:tc>
          <w:tcPr>
            <w:tcW w:w="1070" w:type="dxa"/>
            <w:vAlign w:val="center"/>
            <w:hideMark/>
          </w:tcPr>
          <w:p w14:paraId="50CE5C5C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2018</w:t>
            </w:r>
          </w:p>
        </w:tc>
        <w:tc>
          <w:tcPr>
            <w:tcW w:w="1187" w:type="dxa"/>
            <w:vAlign w:val="center"/>
            <w:hideMark/>
          </w:tcPr>
          <w:p w14:paraId="17BA0EF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Chinese Journal of Radiology (China)</w:t>
            </w:r>
          </w:p>
        </w:tc>
        <w:tc>
          <w:tcPr>
            <w:tcW w:w="1083" w:type="dxa"/>
            <w:vAlign w:val="center"/>
            <w:hideMark/>
          </w:tcPr>
          <w:p w14:paraId="57DCCF8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vAlign w:val="center"/>
            <w:hideMark/>
          </w:tcPr>
          <w:p w14:paraId="4D1257EB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vAlign w:val="center"/>
            <w:hideMark/>
          </w:tcPr>
          <w:p w14:paraId="53C39F1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vAlign w:val="center"/>
            <w:hideMark/>
          </w:tcPr>
          <w:p w14:paraId="12BB5BE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Gd-DTPA;(Gadovist)0.1mmol/kg</w:t>
            </w:r>
          </w:p>
        </w:tc>
        <w:tc>
          <w:tcPr>
            <w:tcW w:w="1154" w:type="dxa"/>
            <w:vAlign w:val="center"/>
            <w:hideMark/>
          </w:tcPr>
          <w:p w14:paraId="38C23E6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4.0 min</w:t>
            </w:r>
          </w:p>
        </w:tc>
        <w:tc>
          <w:tcPr>
            <w:tcW w:w="1761" w:type="dxa"/>
            <w:vAlign w:val="center"/>
            <w:hideMark/>
          </w:tcPr>
          <w:p w14:paraId="0EE0F52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T2W FSE ax (TR/TE 6200.0/136.0ms, FOV 24 cm ST= 4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>-T1W FSE ax (TR/TE400.0/8.4ms, FOV  38 cm ST= 6 mm)                                                                                                                                                                                                                   Dynamic 3D fast field echo ax (TR/TE 3.7/1.7ms, FOV 40 cm, ST= 4 mm)</w:t>
            </w:r>
          </w:p>
        </w:tc>
        <w:tc>
          <w:tcPr>
            <w:tcW w:w="2961" w:type="dxa"/>
            <w:vAlign w:val="center"/>
            <w:hideMark/>
          </w:tcPr>
          <w:p w14:paraId="672A673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 ZOOM-EPI fat suppression and parallel technique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Ax  plane (TR/TE 2000.0/87.0ms   FOV 38 x38 mm, ST= 5 mm b-values=0,25,50,75,100,200,400,600,800,1200)               </w:t>
            </w:r>
          </w:p>
        </w:tc>
        <w:tc>
          <w:tcPr>
            <w:tcW w:w="2860" w:type="dxa"/>
          </w:tcPr>
          <w:p w14:paraId="60F2B0B3" w14:textId="628C9348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</w:p>
        </w:tc>
        <w:tc>
          <w:tcPr>
            <w:tcW w:w="2860" w:type="dxa"/>
          </w:tcPr>
          <w:p w14:paraId="5971BFE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7BDD05CB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69343202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126F5AE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54FF4A8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7377C604" w14:textId="60D9F0A2" w:rsidTr="00412AB0">
        <w:trPr>
          <w:trHeight w:val="687"/>
        </w:trPr>
        <w:tc>
          <w:tcPr>
            <w:tcW w:w="1209" w:type="dxa"/>
            <w:vAlign w:val="center"/>
            <w:hideMark/>
          </w:tcPr>
          <w:p w14:paraId="32B95E7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L. Zhu</w:t>
            </w:r>
          </w:p>
        </w:tc>
        <w:tc>
          <w:tcPr>
            <w:tcW w:w="1070" w:type="dxa"/>
            <w:vAlign w:val="center"/>
            <w:hideMark/>
          </w:tcPr>
          <w:p w14:paraId="0C6AC24C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2017</w:t>
            </w:r>
          </w:p>
        </w:tc>
        <w:tc>
          <w:tcPr>
            <w:tcW w:w="1187" w:type="dxa"/>
            <w:vAlign w:val="center"/>
            <w:hideMark/>
          </w:tcPr>
          <w:p w14:paraId="76AC8BC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J Comput Assist Tomogr</w:t>
            </w:r>
          </w:p>
        </w:tc>
        <w:tc>
          <w:tcPr>
            <w:tcW w:w="1083" w:type="dxa"/>
            <w:vAlign w:val="center"/>
            <w:hideMark/>
          </w:tcPr>
          <w:p w14:paraId="547AB3D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vAlign w:val="center"/>
            <w:hideMark/>
          </w:tcPr>
          <w:p w14:paraId="025256FD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vAlign w:val="center"/>
            <w:hideMark/>
          </w:tcPr>
          <w:p w14:paraId="2BDFE28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vAlign w:val="center"/>
            <w:hideMark/>
          </w:tcPr>
          <w:p w14:paraId="47014A5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Gadodiamide (GE Healthcare Ireland, Shanghai, China) </w:t>
            </w:r>
          </w:p>
        </w:tc>
        <w:tc>
          <w:tcPr>
            <w:tcW w:w="1154" w:type="dxa"/>
            <w:vAlign w:val="center"/>
            <w:hideMark/>
          </w:tcPr>
          <w:p w14:paraId="178E473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6.0 min</w:t>
            </w:r>
          </w:p>
        </w:tc>
        <w:tc>
          <w:tcPr>
            <w:tcW w:w="1761" w:type="dxa"/>
            <w:vAlign w:val="center"/>
            <w:hideMark/>
          </w:tcPr>
          <w:p w14:paraId="484F181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 T2W FSE ax &amp; sag (ax:TR/TE 4500.0/90.0ms, ST=4 mm; sag:TR/TE 4500.0/90.0ms; ST= 4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>- T2 SPAIR  ax &amp; sag(ax: TR/TE 4700.0/70.0ms; ST= 4 mm; sag :TR/TE 5900/97.6ms; ST= 4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T1 THRIVE  ax(ax: TR/TE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Shortest/shortest ms; ST= 1.5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>T1 e-THRIVE ax &amp;sag (ax: TR/TE Shortest/shortest ms; ST= 1.5 mm; sag: TR/TE Shortest/shortest ms; ST= 1.5 mm)</w:t>
            </w:r>
          </w:p>
        </w:tc>
        <w:tc>
          <w:tcPr>
            <w:tcW w:w="2961" w:type="dxa"/>
            <w:vAlign w:val="center"/>
            <w:hideMark/>
          </w:tcPr>
          <w:p w14:paraId="1D5C280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Ax  plane (TR/TE Shortest/shortest ms  , ST= 4 mm b-values=0, 25, 50, 75, 100, 150, 200, 500, and 800)</w:t>
            </w:r>
          </w:p>
        </w:tc>
        <w:tc>
          <w:tcPr>
            <w:tcW w:w="2860" w:type="dxa"/>
          </w:tcPr>
          <w:p w14:paraId="23F1526A" w14:textId="4063A41B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</w:p>
        </w:tc>
        <w:tc>
          <w:tcPr>
            <w:tcW w:w="2860" w:type="dxa"/>
          </w:tcPr>
          <w:p w14:paraId="7BF384F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4842185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2AAC4BB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2EE1BFB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2583A7B8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72FFDA91" w14:textId="46C5FD15" w:rsidTr="00412AB0">
        <w:trPr>
          <w:trHeight w:val="599"/>
        </w:trPr>
        <w:tc>
          <w:tcPr>
            <w:tcW w:w="1209" w:type="dxa"/>
            <w:vAlign w:val="center"/>
            <w:hideMark/>
          </w:tcPr>
          <w:p w14:paraId="54F479D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L. Zhu</w:t>
            </w:r>
          </w:p>
        </w:tc>
        <w:tc>
          <w:tcPr>
            <w:tcW w:w="1070" w:type="dxa"/>
            <w:vAlign w:val="center"/>
            <w:hideMark/>
          </w:tcPr>
          <w:p w14:paraId="41F42193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2017</w:t>
            </w:r>
          </w:p>
        </w:tc>
        <w:tc>
          <w:tcPr>
            <w:tcW w:w="1187" w:type="dxa"/>
            <w:vAlign w:val="center"/>
            <w:hideMark/>
          </w:tcPr>
          <w:p w14:paraId="4DB8DBC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Scientific reports</w:t>
            </w:r>
          </w:p>
        </w:tc>
        <w:tc>
          <w:tcPr>
            <w:tcW w:w="1083" w:type="dxa"/>
            <w:vAlign w:val="center"/>
            <w:hideMark/>
          </w:tcPr>
          <w:p w14:paraId="47D3E67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vAlign w:val="center"/>
            <w:hideMark/>
          </w:tcPr>
          <w:p w14:paraId="273D2B2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vAlign w:val="center"/>
            <w:hideMark/>
          </w:tcPr>
          <w:p w14:paraId="70ADAC1E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-</w:t>
            </w:r>
          </w:p>
        </w:tc>
        <w:tc>
          <w:tcPr>
            <w:tcW w:w="2068" w:type="dxa"/>
            <w:vAlign w:val="center"/>
            <w:hideMark/>
          </w:tcPr>
          <w:p w14:paraId="51B0EE2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Gadodiamide (Omniscan, GE Healthcare, Shanghai, China) </w:t>
            </w:r>
          </w:p>
        </w:tc>
        <w:tc>
          <w:tcPr>
            <w:tcW w:w="1154" w:type="dxa"/>
            <w:vAlign w:val="center"/>
            <w:hideMark/>
          </w:tcPr>
          <w:p w14:paraId="0BAC9CA5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10.0 min</w:t>
            </w:r>
          </w:p>
        </w:tc>
        <w:tc>
          <w:tcPr>
            <w:tcW w:w="1761" w:type="dxa"/>
            <w:vAlign w:val="center"/>
            <w:hideMark/>
          </w:tcPr>
          <w:p w14:paraId="780216F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 T2-weighted turbo spin-echo sequence ax(ax:TR/TE = 4,500.0/ 90.0 ms, FOV= 30 cm , ST= = 5 mm,; sag:TR/TE = 4,500.0 / 90.0 ms, FOV = 30 cm , ST= = 5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  <w:t xml:space="preserve">contrast enhanced-T1 high resolution isotropic volume examination (e-THRIVE) ax (TR/TE = 3.0/ 1.42 ms, FOV = 30 cm, ST= = 1.5 mm). </w:t>
            </w:r>
          </w:p>
        </w:tc>
        <w:tc>
          <w:tcPr>
            <w:tcW w:w="2961" w:type="dxa"/>
            <w:vAlign w:val="center"/>
            <w:hideMark/>
          </w:tcPr>
          <w:p w14:paraId="033713D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IVIM sequence ax(TR/TE = 2,834.0/ 105.0 ms,  FOV = 30 cm , ST=  6 mm,   b-values=0, 10, 20, 30, 40, 50,100, 150, 200, 350, 500, 650, 800, 1000)</w:t>
            </w:r>
          </w:p>
        </w:tc>
        <w:tc>
          <w:tcPr>
            <w:tcW w:w="2860" w:type="dxa"/>
          </w:tcPr>
          <w:p w14:paraId="348AF428" w14:textId="60537B3F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</w:p>
        </w:tc>
        <w:tc>
          <w:tcPr>
            <w:tcW w:w="2860" w:type="dxa"/>
          </w:tcPr>
          <w:p w14:paraId="51C5811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20F6320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1FEA6594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7E479E3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</w:tcPr>
          <w:p w14:paraId="1C8E118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6C6F75FF" w14:textId="11425436" w:rsidTr="00412AB0">
        <w:trPr>
          <w:trHeight w:val="621"/>
        </w:trPr>
        <w:tc>
          <w:tcPr>
            <w:tcW w:w="120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0DBD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L. Zhu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FD9D8" w14:textId="77777777" w:rsidR="00412AB0" w:rsidRPr="003B6CFA" w:rsidRDefault="00412AB0" w:rsidP="003B6CF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2016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51986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BMC cancer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0EC7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3 T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B7ED2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phased 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softHyphen/>
              <w:t xml:space="preserve">array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D1AFA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0B6BF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Gadodiamide (Omniscan, GE Healthcare, Shanghai, China)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F93A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10.0min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F63F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 xml:space="preserve"> T2-weighted turbo spin-echo sequence ax&amp; sag(ax:TR/TE = 4,500.0/ 90.0 ms, FOV= 30 cm , ST= = 5 mm,; sag:TR/TE = 4,500.0 / 90.0 ms, FOV = 30 cm , ST= = 5 mm)</w:t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br/>
            </w: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>contrast enhanced-T1 high resolution isotropic volume examination (e-THRIVE) ax (TR/TE = 3.0/ 1.42 ms, FOV = 30 cm, ST= = 1.6 mm).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A40A9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lastRenderedPageBreak/>
              <w:t xml:space="preserve">IVIM sequence ax(TR/TE = 2834.0/ 105.0 ms, matrix size = 152 × 120, FOV = 30 × 40 cm, ST = 6 mm, intersection gap = 0.5 mm, NSA = 1; b-values=0, 10, 20, 30, 40, 50, 100, 150, 200, 350, 500, 650, 800, 1000 s /mm2 ) 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8A566FF" w14:textId="569EC814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  <w:r w:rsidRPr="00412AB0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3-parameter with fixed S0</w:t>
            </w:r>
            <w:bookmarkStart w:id="0" w:name="_GoBack"/>
            <w:bookmarkEnd w:id="0"/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C6D1423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FAA51D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41277C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388E800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6392D61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</w:pPr>
          </w:p>
        </w:tc>
      </w:tr>
      <w:tr w:rsidR="00412AB0" w:rsidRPr="003B6CFA" w14:paraId="58FDD174" w14:textId="1A8EB2DD" w:rsidTr="00412AB0">
        <w:trPr>
          <w:trHeight w:val="586"/>
        </w:trPr>
        <w:tc>
          <w:tcPr>
            <w:tcW w:w="120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EB957" w14:textId="77777777" w:rsidR="00412AB0" w:rsidRPr="003B6CFA" w:rsidRDefault="00412AB0" w:rsidP="003B6CF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B6CFA">
              <w:rPr>
                <w:rFonts w:ascii="Times New Roman" w:eastAsia="等线" w:hAnsi="Times New Roman" w:cs="Times New Roman"/>
                <w:color w:val="000000"/>
                <w:kern w:val="24"/>
                <w:sz w:val="15"/>
                <w:szCs w:val="15"/>
              </w:rPr>
              <w:t>a: e.g T1 / T1GRE / T2/ HASTE  b: TR/TE and b-value</w:t>
            </w:r>
          </w:p>
        </w:tc>
        <w:tc>
          <w:tcPr>
            <w:tcW w:w="107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90244" w14:textId="77777777" w:rsidR="00412AB0" w:rsidRPr="003B6CFA" w:rsidRDefault="00412AB0" w:rsidP="003B6CFA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8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8C55D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878BF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D09CF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E1C8C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9F23C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EDDA8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A6B97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E7FE8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F708CD8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BD81C06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CB7FF33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9C62C61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2A171CF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697F3AE" w14:textId="77777777" w:rsidR="00412AB0" w:rsidRPr="003B6CFA" w:rsidRDefault="00412AB0" w:rsidP="003B6CF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</w:tbl>
    <w:p w14:paraId="1C5937BE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25BC3D61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418B8569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2E906857" w14:textId="77777777" w:rsidR="00F105AA" w:rsidRPr="00F105AA" w:rsidRDefault="00F105AA" w:rsidP="00F105AA">
      <w:pPr>
        <w:rPr>
          <w:rFonts w:ascii="Times New Roman" w:eastAsia="宋体" w:hAnsi="Times New Roman" w:cs="Times New Roman"/>
          <w:color w:val="000000"/>
          <w:sz w:val="40"/>
          <w:szCs w:val="40"/>
        </w:rPr>
      </w:pPr>
    </w:p>
    <w:tbl>
      <w:tblPr>
        <w:tblW w:w="149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6"/>
        <w:gridCol w:w="720"/>
        <w:gridCol w:w="1513"/>
        <w:gridCol w:w="962"/>
        <w:gridCol w:w="963"/>
        <w:gridCol w:w="412"/>
        <w:gridCol w:w="2270"/>
        <w:gridCol w:w="4987"/>
        <w:gridCol w:w="1831"/>
      </w:tblGrid>
      <w:tr w:rsidR="00F105AA" w:rsidRPr="00F105AA" w14:paraId="1E7E9D6E" w14:textId="77777777" w:rsidTr="00F105AA">
        <w:trPr>
          <w:trHeight w:val="66"/>
        </w:trPr>
        <w:tc>
          <w:tcPr>
            <w:tcW w:w="585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F939D" w14:textId="4DB57AB0" w:rsidR="00F105AA" w:rsidRPr="00F105AA" w:rsidRDefault="00F105AA" w:rsidP="00F105AA">
            <w:pPr>
              <w:widowControl/>
              <w:ind w:left="90" w:hangingChars="50" w:hanging="9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 xml:space="preserve">S 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 xml:space="preserve">TABLE </w:t>
            </w:r>
            <w:r w:rsidR="00A40B9D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2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 xml:space="preserve">. Results of 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 xml:space="preserve">Efficacy Analysis at the last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F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 xml:space="preserve">ollow-up 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EEF37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498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BCA27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70458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  <w:tr w:rsidR="00F105AA" w:rsidRPr="00F105AA" w14:paraId="17E80738" w14:textId="77777777" w:rsidTr="00F105AA">
        <w:trPr>
          <w:trHeight w:val="380"/>
        </w:trPr>
        <w:tc>
          <w:tcPr>
            <w:tcW w:w="128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A495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First Author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D9521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Year</w:t>
            </w:r>
          </w:p>
        </w:tc>
        <w:tc>
          <w:tcPr>
            <w:tcW w:w="247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F081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Journal</w:t>
            </w:r>
          </w:p>
        </w:tc>
        <w:tc>
          <w:tcPr>
            <w:tcW w:w="137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6A39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Complete FU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br/>
              <w:t>(after treatment)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br/>
              <w:t>YES or NO</w:t>
            </w:r>
          </w:p>
        </w:tc>
        <w:tc>
          <w:tcPr>
            <w:tcW w:w="226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F938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Description of FU scheme for response monitoring</w:t>
            </w:r>
          </w:p>
        </w:tc>
        <w:tc>
          <w:tcPr>
            <w:tcW w:w="49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B858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Criteria for CR groups/non-CR groups</w:t>
            </w:r>
          </w:p>
        </w:tc>
        <w:tc>
          <w:tcPr>
            <w:tcW w:w="183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F2E1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t>Flow and</w:t>
            </w:r>
            <w:r w:rsidRPr="00F105AA">
              <w:rPr>
                <w:rFonts w:ascii="Times New Roman" w:eastAsia="宋体" w:hAnsi="Times New Roman" w:cs="Times New Roman"/>
                <w:b/>
                <w:color w:val="000000"/>
                <w:kern w:val="24"/>
                <w:sz w:val="18"/>
              </w:rPr>
              <w:br/>
              <w:t>timing</w:t>
            </w:r>
          </w:p>
        </w:tc>
      </w:tr>
      <w:tr w:rsidR="00F105AA" w:rsidRPr="00F105AA" w14:paraId="6A807A52" w14:textId="77777777" w:rsidTr="00F105AA">
        <w:trPr>
          <w:trHeight w:val="820"/>
        </w:trPr>
        <w:tc>
          <w:tcPr>
            <w:tcW w:w="128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9A12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C. Xu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8E6CE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2019</w:t>
            </w:r>
          </w:p>
        </w:tc>
        <w:tc>
          <w:tcPr>
            <w:tcW w:w="247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B542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European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Journal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of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Radiology</w:t>
            </w:r>
          </w:p>
        </w:tc>
        <w:tc>
          <w:tcPr>
            <w:tcW w:w="137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8953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2380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The first integrated PET-MR scan was performed within 3 days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before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CCRT, and the second scan was performed at the end of the third week of CCRT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,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and the third scan was performed within 1 month after CCRT </w:t>
            </w:r>
          </w:p>
        </w:tc>
        <w:tc>
          <w:tcPr>
            <w:tcW w:w="49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C297A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The pro-therapy(ProTx) CCRT PET-MR scans were used to classify patient responses to treatment as complete metabolic responders (CMR) or non-complete metabolic responders (N-CMR) according to the European Organization for Research and Treatment of Cancer(EORTC) criteria</w:t>
            </w:r>
          </w:p>
        </w:tc>
        <w:tc>
          <w:tcPr>
            <w:tcW w:w="183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00B5B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F105AA" w:rsidRPr="00F105AA" w14:paraId="45584677" w14:textId="77777777" w:rsidTr="00F105AA">
        <w:trPr>
          <w:trHeight w:val="668"/>
        </w:trPr>
        <w:tc>
          <w:tcPr>
            <w:tcW w:w="1286" w:type="dxa"/>
            <w:vAlign w:val="center"/>
            <w:hideMark/>
          </w:tcPr>
          <w:p w14:paraId="5DE19AF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>H. Kato</w:t>
            </w:r>
          </w:p>
        </w:tc>
        <w:tc>
          <w:tcPr>
            <w:tcW w:w="720" w:type="dxa"/>
            <w:vAlign w:val="center"/>
            <w:hideMark/>
          </w:tcPr>
          <w:p w14:paraId="3301F2C2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2019</w:t>
            </w:r>
          </w:p>
        </w:tc>
        <w:tc>
          <w:tcPr>
            <w:tcW w:w="1513" w:type="dxa"/>
            <w:vAlign w:val="center"/>
            <w:hideMark/>
          </w:tcPr>
          <w:p w14:paraId="6CCAC2D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Magnetic resonance in medical sciences: MRMS : an official journal of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the Japanese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Society of Magnetic Resonance in Medicine</w:t>
            </w:r>
          </w:p>
        </w:tc>
        <w:tc>
          <w:tcPr>
            <w:tcW w:w="1925" w:type="dxa"/>
            <w:gridSpan w:val="2"/>
            <w:vAlign w:val="center"/>
            <w:hideMark/>
          </w:tcPr>
          <w:p w14:paraId="39A154B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682" w:type="dxa"/>
            <w:gridSpan w:val="2"/>
            <w:vAlign w:val="center"/>
            <w:hideMark/>
          </w:tcPr>
          <w:p w14:paraId="7D3C140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Therapeutic pathological assessment conducted 3 months after comple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softHyphen/>
              <w:t>ted CCRT, except for females with apparent residual tumors on MRI</w:t>
            </w:r>
          </w:p>
        </w:tc>
        <w:tc>
          <w:tcPr>
            <w:tcW w:w="4987" w:type="dxa"/>
            <w:vAlign w:val="center"/>
            <w:hideMark/>
          </w:tcPr>
          <w:p w14:paraId="04D9FE35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Therapeutic pathological assessment conducted 3 months after  comple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softHyphen/>
              <w:t>ted CCRT, except for females with apparent residual tumors on MRI; on this basis, we classified the females with two groups: complete remission complete remission (CR) and non-complete remission (CR)</w:t>
            </w:r>
          </w:p>
        </w:tc>
        <w:tc>
          <w:tcPr>
            <w:tcW w:w="1831" w:type="dxa"/>
            <w:vAlign w:val="center"/>
            <w:hideMark/>
          </w:tcPr>
          <w:p w14:paraId="39F9F5D2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F105AA" w:rsidRPr="00F105AA" w14:paraId="4F26B150" w14:textId="77777777" w:rsidTr="00F105AA">
        <w:trPr>
          <w:trHeight w:val="2186"/>
        </w:trPr>
        <w:tc>
          <w:tcPr>
            <w:tcW w:w="1286" w:type="dxa"/>
            <w:vAlign w:val="center"/>
            <w:hideMark/>
          </w:tcPr>
          <w:p w14:paraId="6694208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H. Bian</w:t>
            </w:r>
          </w:p>
        </w:tc>
        <w:tc>
          <w:tcPr>
            <w:tcW w:w="720" w:type="dxa"/>
            <w:vAlign w:val="center"/>
            <w:hideMark/>
          </w:tcPr>
          <w:p w14:paraId="5BB04743" w14:textId="77777777" w:rsidR="00F105AA" w:rsidRPr="00F105AA" w:rsidRDefault="00F105AA" w:rsidP="00F105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2019</w:t>
            </w:r>
          </w:p>
        </w:tc>
        <w:tc>
          <w:tcPr>
            <w:tcW w:w="2475" w:type="dxa"/>
            <w:gridSpan w:val="2"/>
            <w:vAlign w:val="center"/>
            <w:hideMark/>
          </w:tcPr>
          <w:p w14:paraId="14AAB0F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Medicine (Baltimore)</w:t>
            </w:r>
          </w:p>
        </w:tc>
        <w:tc>
          <w:tcPr>
            <w:tcW w:w="1375" w:type="dxa"/>
            <w:gridSpan w:val="2"/>
            <w:vAlign w:val="center"/>
            <w:hideMark/>
          </w:tcPr>
          <w:p w14:paraId="7354464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vAlign w:val="center"/>
            <w:hideMark/>
          </w:tcPr>
          <w:p w14:paraId="0318FB5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Pelvic MRI was performed within 2 weeks before therapy, 7 days and 21 days after the therapy initiated (during treatment), and 1 month after the treatment completed. Tumor residue was determined by cervical biopsy 1 month after the treatment completed. Follow-up evaluation including clinical evaluation (vaginal speculum, cervical palpation, thinprep cytologic test, or cervical biopsy) with or without imaging examinations was performed after the completion of the therapy. Average follow-up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was 12.7 months (range 9–25.5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 xml:space="preserve">months). </w:t>
            </w:r>
          </w:p>
        </w:tc>
        <w:tc>
          <w:tcPr>
            <w:tcW w:w="4987" w:type="dxa"/>
            <w:vAlign w:val="center"/>
            <w:hideMark/>
          </w:tcPr>
          <w:p w14:paraId="70701C7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>Patients were divided into 2 groups based on the ﬁnal outcome:  good prognosis group (without pathological tumor residue, no recurrence or metastases during follow-up)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 and  poor prognosis group (with pathological tumor residue or development of recurrence/metastases)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We used the mean values of MR response and clinical response and classified patients as CR PR and SD according to the RECIST criteria</w:t>
            </w:r>
          </w:p>
        </w:tc>
        <w:tc>
          <w:tcPr>
            <w:tcW w:w="1831" w:type="dxa"/>
            <w:vAlign w:val="center"/>
            <w:hideMark/>
          </w:tcPr>
          <w:p w14:paraId="17FFE5FC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F105AA" w:rsidRPr="00F105AA" w14:paraId="47811F55" w14:textId="77777777" w:rsidTr="00F105AA">
        <w:trPr>
          <w:trHeight w:val="1015"/>
        </w:trPr>
        <w:tc>
          <w:tcPr>
            <w:tcW w:w="1286" w:type="dxa"/>
            <w:vAlign w:val="center"/>
            <w:hideMark/>
          </w:tcPr>
          <w:p w14:paraId="1A6D2FD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J. Li</w:t>
            </w:r>
          </w:p>
        </w:tc>
        <w:tc>
          <w:tcPr>
            <w:tcW w:w="720" w:type="dxa"/>
            <w:vAlign w:val="center"/>
            <w:hideMark/>
          </w:tcPr>
          <w:p w14:paraId="69D03206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2018</w:t>
            </w:r>
          </w:p>
        </w:tc>
        <w:tc>
          <w:tcPr>
            <w:tcW w:w="2475" w:type="dxa"/>
            <w:gridSpan w:val="2"/>
            <w:vAlign w:val="center"/>
            <w:hideMark/>
          </w:tcPr>
          <w:p w14:paraId="731C0CD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Chinese Journal of Radiology (China)</w:t>
            </w:r>
          </w:p>
        </w:tc>
        <w:tc>
          <w:tcPr>
            <w:tcW w:w="1375" w:type="dxa"/>
            <w:gridSpan w:val="2"/>
            <w:vAlign w:val="center"/>
            <w:hideMark/>
          </w:tcPr>
          <w:p w14:paraId="1626375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vAlign w:val="center"/>
            <w:hideMark/>
          </w:tcPr>
          <w:p w14:paraId="5326530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MRI within 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month of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completion (T1 and T2 sequences including DWI, IVIM by two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reviewers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in consensus)</w:t>
            </w:r>
          </w:p>
        </w:tc>
        <w:tc>
          <w:tcPr>
            <w:tcW w:w="4987" w:type="dxa"/>
            <w:vAlign w:val="center"/>
            <w:hideMark/>
          </w:tcPr>
          <w:p w14:paraId="004C43D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Therapeutic efficacy are decided by the final tumor size on MRI, defined as CR, PR, SD and PD according to RECIST, 1 month after treatment was completed.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CR: no residual cancer on T2W imaging;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PR: the maximum diameter of the cancer is less than 70% of the initial size;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SD: not enough shrinkage to meet the requirements of PR or PD(The maximum diameters increased by 20% before treatment). </w:t>
            </w:r>
          </w:p>
        </w:tc>
        <w:tc>
          <w:tcPr>
            <w:tcW w:w="1831" w:type="dxa"/>
            <w:vAlign w:val="center"/>
            <w:hideMark/>
          </w:tcPr>
          <w:p w14:paraId="08D3FC42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F105AA" w:rsidRPr="00F105AA" w14:paraId="63C28522" w14:textId="77777777" w:rsidTr="00F105AA">
        <w:trPr>
          <w:trHeight w:val="937"/>
        </w:trPr>
        <w:tc>
          <w:tcPr>
            <w:tcW w:w="1286" w:type="dxa"/>
            <w:vAlign w:val="center"/>
            <w:hideMark/>
          </w:tcPr>
          <w:p w14:paraId="3F9BE04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L. Zhu</w:t>
            </w:r>
          </w:p>
        </w:tc>
        <w:tc>
          <w:tcPr>
            <w:tcW w:w="720" w:type="dxa"/>
            <w:vAlign w:val="center"/>
            <w:hideMark/>
          </w:tcPr>
          <w:p w14:paraId="59F8D21F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2017</w:t>
            </w:r>
          </w:p>
        </w:tc>
        <w:tc>
          <w:tcPr>
            <w:tcW w:w="2475" w:type="dxa"/>
            <w:gridSpan w:val="2"/>
            <w:vAlign w:val="center"/>
            <w:hideMark/>
          </w:tcPr>
          <w:p w14:paraId="39A1DB8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J Comput Assist Tomogr</w:t>
            </w:r>
          </w:p>
        </w:tc>
        <w:tc>
          <w:tcPr>
            <w:tcW w:w="1375" w:type="dxa"/>
            <w:gridSpan w:val="2"/>
            <w:vAlign w:val="center"/>
            <w:hideMark/>
          </w:tcPr>
          <w:p w14:paraId="116FDC4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vAlign w:val="center"/>
            <w:hideMark/>
          </w:tcPr>
          <w:p w14:paraId="0B63656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Four sequential MR examinations were performed at different time points: before CCRT (MRIpre), at the end of the second week (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MRI 2nd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), at the end of fourth week during CCRT (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MRI 4th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), and immediately after CCRT (MRIpost)</w:t>
            </w:r>
          </w:p>
        </w:tc>
        <w:tc>
          <w:tcPr>
            <w:tcW w:w="4987" w:type="dxa"/>
            <w:vAlign w:val="center"/>
            <w:hideMark/>
          </w:tcPr>
          <w:p w14:paraId="7F358AF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(1) CR was defined as no residual tumor being found on MR images, (2) PR was concluded when the longest diameter was 30% or even more off the original one, (3) PD: the maximum diameters increased at least 20% before treatment, and (4) the disease was considered as a stable disease if the tumor changes stayed between PR and progress disease</w:t>
            </w:r>
          </w:p>
        </w:tc>
        <w:tc>
          <w:tcPr>
            <w:tcW w:w="1831" w:type="dxa"/>
            <w:vAlign w:val="center"/>
            <w:hideMark/>
          </w:tcPr>
          <w:p w14:paraId="4421E7B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29 for inability to take part in all follow-up MR examinations for personal reasons (bad health condition, alteration of treatment regime or agencies)</w:t>
            </w:r>
          </w:p>
        </w:tc>
      </w:tr>
      <w:tr w:rsidR="00F105AA" w:rsidRPr="00F105AA" w14:paraId="3F054496" w14:textId="77777777" w:rsidTr="00F105AA">
        <w:trPr>
          <w:trHeight w:val="2280"/>
        </w:trPr>
        <w:tc>
          <w:tcPr>
            <w:tcW w:w="1286" w:type="dxa"/>
            <w:vAlign w:val="center"/>
            <w:hideMark/>
          </w:tcPr>
          <w:p w14:paraId="387A51A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>L. Zhu</w:t>
            </w:r>
          </w:p>
        </w:tc>
        <w:tc>
          <w:tcPr>
            <w:tcW w:w="720" w:type="dxa"/>
            <w:vAlign w:val="center"/>
            <w:hideMark/>
          </w:tcPr>
          <w:p w14:paraId="479B4783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2017</w:t>
            </w:r>
          </w:p>
        </w:tc>
        <w:tc>
          <w:tcPr>
            <w:tcW w:w="2475" w:type="dxa"/>
            <w:gridSpan w:val="2"/>
            <w:vAlign w:val="center"/>
            <w:hideMark/>
          </w:tcPr>
          <w:p w14:paraId="2B13503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Scientific reports</w:t>
            </w:r>
          </w:p>
        </w:tc>
        <w:tc>
          <w:tcPr>
            <w:tcW w:w="1375" w:type="dxa"/>
            <w:gridSpan w:val="2"/>
            <w:vAlign w:val="center"/>
            <w:hideMark/>
          </w:tcPr>
          <w:p w14:paraId="1EFA4AB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vAlign w:val="center"/>
            <w:hideMark/>
          </w:tcPr>
          <w:p w14:paraId="03103EE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MRI was performed in all females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weeks before CCRT,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weeks after CCRT, and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weeks after CCRT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The patients were followed up with clinical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position w:val="2"/>
                <w:sz w:val="18"/>
                <w:vertAlign w:val="superscript"/>
              </w:rPr>
              <w:t>a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or imaging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position w:val="2"/>
                <w:sz w:val="18"/>
                <w:vertAlign w:val="superscript"/>
              </w:rPr>
              <w:t>b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for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1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month and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3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months after treatment, every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6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months until cancer recurrence or death. </w:t>
            </w:r>
          </w:p>
        </w:tc>
        <w:tc>
          <w:tcPr>
            <w:tcW w:w="4987" w:type="dxa"/>
            <w:vAlign w:val="center"/>
            <w:hideMark/>
          </w:tcPr>
          <w:p w14:paraId="214A965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According to RECIST as follows: (1) CR: MR imaging showed no residual tumour; (2) PR: the maximum diameter of the residual cancer was more than 30% smaller than the initial one; (3) PD: the maximum diameter of the tumor is increased by at least 20% comparing with the initial size; (4) SD: no decrease in qualified PR, there is no increase in qualified PD.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The long-term treatment outcome depended on the nearest follow-up with clinical  or imaging  evidence: patients with complete remission was defined as having good prognosis, and patients whose outcomes were death, recurrence or sustained disease (patients classified as PR both after short-term and long-term follow-up) were defined as having poor prognosis. 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The long-term therapeutic efficacy hinges on the latest clinical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position w:val="2"/>
                <w:sz w:val="18"/>
                <w:vertAlign w:val="superscript"/>
              </w:rPr>
              <w:t>a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follow-up, as well as to imaging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position w:val="2"/>
                <w:sz w:val="18"/>
                <w:vertAlign w:val="superscript"/>
              </w:rPr>
              <w:t>b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.  Females in CR have been termed as good prognosis, females with a mortality result, and females with recurrent or persistent disease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position w:val="2"/>
                <w:sz w:val="18"/>
                <w:vertAlign w:val="superscript"/>
              </w:rPr>
              <w:t xml:space="preserve">c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have been termed as poor prognosis.</w:t>
            </w:r>
          </w:p>
        </w:tc>
        <w:tc>
          <w:tcPr>
            <w:tcW w:w="1831" w:type="dxa"/>
            <w:vAlign w:val="center"/>
            <w:hideMark/>
          </w:tcPr>
          <w:p w14:paraId="457545D8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F105AA" w:rsidRPr="00F105AA" w14:paraId="5343F647" w14:textId="77777777" w:rsidTr="00F105AA">
        <w:trPr>
          <w:trHeight w:val="2280"/>
        </w:trPr>
        <w:tc>
          <w:tcPr>
            <w:tcW w:w="128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5158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L. Zhu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75FCA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2016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2A55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BMC cancer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EF0F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YES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E600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MRI was performed in all females one weeks before CCRT,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2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weeks after CCRT,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4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 weeks after CCRT and completed CCRT.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72E3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>According to RECIST as follows: (1) CR: MR imaging showed no residual tumour; (2) PR: the maximum diameter of the residual cancer was more than 30% smaller than the initial one; (3) PD: the maximum diameter of the tumor is increased by at least 20% comparing with the initial size; (5) SD: no decrease in qualified PR, there is no increase in qualified PD.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The long-term treatment outcome depended on the nearest follow-up with clinical  or imaging  evidence: patients with complete remission was defined as having good prognosis, and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 xml:space="preserve">patients whose outcomes were death, recurrence or sustained disease (patients classified as PR both after short-term and long-term follow-up) were defined as having poor prognosis. 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The long-term therapeutic efficacy hinges on the latest clinicala follow-up, as well as to imagingb.  Females in CR have been termed as good prognosis, females with a mortality result, and females with recurrent or persistent diseasec  have been termed as poor prognosis.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57C0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 w:hint="eastAsia"/>
                <w:color w:val="000000"/>
                <w:kern w:val="24"/>
                <w:sz w:val="18"/>
              </w:rPr>
              <w:lastRenderedPageBreak/>
              <w:t xml:space="preserve">　</w:t>
            </w:r>
          </w:p>
        </w:tc>
      </w:tr>
      <w:tr w:rsidR="00F105AA" w:rsidRPr="00F105AA" w14:paraId="7E60708F" w14:textId="77777777" w:rsidTr="00F105AA">
        <w:trPr>
          <w:trHeight w:val="1211"/>
        </w:trPr>
        <w:tc>
          <w:tcPr>
            <w:tcW w:w="128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BE48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t xml:space="preserve">complete respond:CR  non-complete respond:non-CR 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Partial response (PR)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Stable disease (SD)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Progressive disease (PD)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 xml:space="preserve">CCRT: concurrent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8"/>
                <w:szCs w:val="18"/>
              </w:rPr>
              <w:t>CCRT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a: physical examination or pap smear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  <w:t>b:  CT and/or MR imaging</w:t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br/>
            </w:r>
            <w:r w:rsidRPr="00F105AA">
              <w:rPr>
                <w:rFonts w:ascii="Times New Roman" w:eastAsia="宋体" w:hAnsi="Times New Roman" w:cs="Times New Roman"/>
                <w:color w:val="000000"/>
                <w:kern w:val="24"/>
                <w:sz w:val="18"/>
              </w:rPr>
              <w:lastRenderedPageBreak/>
              <w:t>c: PR after short and long-term follow-up</w:t>
            </w:r>
          </w:p>
        </w:tc>
        <w:tc>
          <w:tcPr>
            <w:tcW w:w="72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BC5C6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2475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EFA99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085DD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C57A8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498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BC935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2D5CA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</w:tbl>
    <w:p w14:paraId="54CB1768" w14:textId="77777777" w:rsidR="00F105AA" w:rsidRPr="00F105AA" w:rsidRDefault="00F105AA" w:rsidP="00F105AA">
      <w:pPr>
        <w:rPr>
          <w:rFonts w:ascii="Times New Roman" w:eastAsia="宋体" w:hAnsi="Times New Roman" w:cs="Times New Roman"/>
          <w:color w:val="000000"/>
          <w:sz w:val="40"/>
          <w:szCs w:val="40"/>
        </w:rPr>
      </w:pPr>
    </w:p>
    <w:p w14:paraId="0E4DDB8F" w14:textId="77777777" w:rsidR="00F105AA" w:rsidRPr="00F105AA" w:rsidRDefault="00F105AA" w:rsidP="00F105AA">
      <w:pPr>
        <w:rPr>
          <w:rFonts w:ascii="Times New Roman" w:eastAsia="宋体" w:hAnsi="Times New Roman" w:cs="Times New Roman"/>
          <w:color w:val="000000"/>
          <w:sz w:val="40"/>
          <w:szCs w:val="40"/>
        </w:rPr>
      </w:pPr>
    </w:p>
    <w:p w14:paraId="5BECAA34" w14:textId="77777777" w:rsidR="00F105AA" w:rsidRPr="00F105AA" w:rsidRDefault="00F105AA" w:rsidP="00F105AA">
      <w:pPr>
        <w:rPr>
          <w:rFonts w:ascii="Times New Roman" w:eastAsia="宋体" w:hAnsi="Times New Roman" w:cs="Times New Roman"/>
          <w:color w:val="000000"/>
          <w:sz w:val="52"/>
        </w:rPr>
      </w:pPr>
    </w:p>
    <w:p w14:paraId="214A8201" w14:textId="305A2DC0" w:rsidR="00F105AA" w:rsidRPr="00F105AA" w:rsidRDefault="00145946" w:rsidP="00F105AA">
      <w:pPr>
        <w:rPr>
          <w:rFonts w:ascii="Times New Roman" w:eastAsia="宋体" w:hAnsi="Times New Roman" w:cs="Times New Roman"/>
          <w:b/>
          <w:color w:val="000000"/>
          <w:kern w:val="24"/>
          <w:sz w:val="22"/>
        </w:rPr>
      </w:pPr>
      <w:r>
        <w:rPr>
          <w:rFonts w:ascii="Times New Roman" w:eastAsia="宋体" w:hAnsi="Times New Roman" w:cs="Times New Roman"/>
          <w:b/>
          <w:color w:val="000000"/>
          <w:kern w:val="24"/>
          <w:sz w:val="22"/>
        </w:rPr>
        <w:t xml:space="preserve">S </w:t>
      </w:r>
      <w:r w:rsidR="00F105AA" w:rsidRPr="00F105AA">
        <w:rPr>
          <w:rFonts w:ascii="Times New Roman" w:eastAsia="宋体" w:hAnsi="Times New Roman" w:cs="Times New Roman"/>
          <w:b/>
          <w:color w:val="000000"/>
          <w:kern w:val="24"/>
          <w:sz w:val="22"/>
        </w:rPr>
        <w:t xml:space="preserve">TABLE </w:t>
      </w:r>
      <w:r>
        <w:rPr>
          <w:rFonts w:ascii="Times New Roman" w:eastAsia="宋体" w:hAnsi="Times New Roman" w:cs="Times New Roman"/>
          <w:b/>
          <w:color w:val="000000"/>
          <w:kern w:val="24"/>
          <w:sz w:val="22"/>
        </w:rPr>
        <w:t>3</w:t>
      </w:r>
      <w:r w:rsidR="00F105AA" w:rsidRPr="00F105AA">
        <w:rPr>
          <w:rFonts w:ascii="Times New Roman" w:eastAsia="宋体" w:hAnsi="Times New Roman" w:cs="Times New Roman"/>
          <w:b/>
          <w:color w:val="000000"/>
          <w:kern w:val="24"/>
          <w:sz w:val="22"/>
        </w:rPr>
        <w:t>. IVIM parameters for Monitoring Early Therapeutic Efficacy (Pre-Treatment &amp; 1, 2, 3 ,4 Weeks of Therapy and Post-therapy )</w:t>
      </w:r>
    </w:p>
    <w:tbl>
      <w:tblPr>
        <w:tblW w:w="195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1"/>
        <w:gridCol w:w="589"/>
        <w:gridCol w:w="1555"/>
        <w:gridCol w:w="1209"/>
        <w:gridCol w:w="675"/>
        <w:gridCol w:w="675"/>
        <w:gridCol w:w="675"/>
        <w:gridCol w:w="675"/>
        <w:gridCol w:w="638"/>
        <w:gridCol w:w="638"/>
        <w:gridCol w:w="632"/>
        <w:gridCol w:w="638"/>
        <w:gridCol w:w="631"/>
        <w:gridCol w:w="631"/>
        <w:gridCol w:w="631"/>
        <w:gridCol w:w="631"/>
        <w:gridCol w:w="638"/>
        <w:gridCol w:w="632"/>
        <w:gridCol w:w="632"/>
        <w:gridCol w:w="638"/>
        <w:gridCol w:w="631"/>
        <w:gridCol w:w="631"/>
        <w:gridCol w:w="631"/>
        <w:gridCol w:w="631"/>
        <w:gridCol w:w="683"/>
        <w:gridCol w:w="683"/>
        <w:gridCol w:w="683"/>
        <w:gridCol w:w="683"/>
      </w:tblGrid>
      <w:tr w:rsidR="00F105AA" w:rsidRPr="00F105AA" w14:paraId="438CE964" w14:textId="77777777" w:rsidTr="00F105AA">
        <w:trPr>
          <w:trHeight w:val="117"/>
        </w:trPr>
        <w:tc>
          <w:tcPr>
            <w:tcW w:w="9604" w:type="dxa"/>
            <w:gridSpan w:val="1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A3688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b/>
                <w:color w:val="000000"/>
                <w:kern w:val="24"/>
                <w:sz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AD4E5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65F0F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9A4AE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F8613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738BB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82FC2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CE671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14309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57CC6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07CDE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30852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30A0E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593E0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6DB95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2A97C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  <w:tr w:rsidR="00F105AA" w:rsidRPr="00F105AA" w14:paraId="740ACBCA" w14:textId="77777777" w:rsidTr="00F105AA">
        <w:trPr>
          <w:trHeight w:val="1197"/>
        </w:trPr>
        <w:tc>
          <w:tcPr>
            <w:tcW w:w="6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2780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Author</w:t>
            </w:r>
          </w:p>
        </w:tc>
        <w:tc>
          <w:tcPr>
            <w:tcW w:w="63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337B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Year</w:t>
            </w:r>
          </w:p>
        </w:tc>
        <w:tc>
          <w:tcPr>
            <w:tcW w:w="128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DA13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MRI parameters</w:t>
            </w:r>
          </w:p>
        </w:tc>
        <w:tc>
          <w:tcPr>
            <w:tcW w:w="102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F130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 xml:space="preserve">Group (n) </w:t>
            </w:r>
          </w:p>
        </w:tc>
        <w:tc>
          <w:tcPr>
            <w:tcW w:w="6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8B42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pre-treatment mean ADC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4FFA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pre-treatment mean D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FC92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pre-treatment mean D* values ± SD</w:t>
            </w:r>
          </w:p>
        </w:tc>
        <w:tc>
          <w:tcPr>
            <w:tcW w:w="6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5058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pre-treatment mean f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211D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1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ADC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434D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1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CB32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1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D*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1300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1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f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CBFC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2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ADC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7295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2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8B5F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2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D*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A48C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2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f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7F2E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3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ADC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D9F1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3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D312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3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D*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2E84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3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f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4C59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4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ADC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D836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4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7EEA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4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D*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C22E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Early response, 4 weeks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f values ± SD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or 95%CI or median and quatile</w:t>
            </w: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42A2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post-treatment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ADC  values ±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SD or 95%CI or median and quatile</w:t>
            </w: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2B88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post-treatment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D values ±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SD or 95%CI or median and quatile</w:t>
            </w: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E8F2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post-treatment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 D* values ±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SD or 95%CI or median and quatile</w:t>
            </w: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7AAA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t>post-treatment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mean f values ±</w:t>
            </w:r>
            <w:r w:rsidRPr="00F105AA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0"/>
                <w:szCs w:val="10"/>
              </w:rPr>
              <w:br/>
              <w:t>SD or 95%CI or median and quatile</w:t>
            </w:r>
          </w:p>
        </w:tc>
      </w:tr>
      <w:tr w:rsidR="00F105AA" w:rsidRPr="00F105AA" w14:paraId="746C106D" w14:textId="77777777" w:rsidTr="00F105AA">
        <w:trPr>
          <w:trHeight w:val="762"/>
        </w:trPr>
        <w:tc>
          <w:tcPr>
            <w:tcW w:w="66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8FFA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H. Kato</w:t>
            </w:r>
          </w:p>
        </w:tc>
        <w:tc>
          <w:tcPr>
            <w:tcW w:w="63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408C6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2019</w:t>
            </w:r>
          </w:p>
        </w:tc>
        <w:tc>
          <w:tcPr>
            <w:tcW w:w="128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177B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b-values:0, 50, 100, 200, 400 and 800</w:t>
            </w:r>
          </w:p>
        </w:tc>
        <w:tc>
          <w:tcPr>
            <w:tcW w:w="102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B3F0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Complete remission (n=11);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Non-complete remission (n=6)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E310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0.93 ± 0.18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1.03 ± 0.11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AF36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0.76 ± 0.18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0.87 ± 0.10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9139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5.22 ± 0.06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5.26 ± 0.03 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202F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14.4 ± 1.2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15.1 ± 0.6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7A50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2D05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F688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9010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9D73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1.28 ± 0.25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1.16 ± 0.17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2391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1.03 ± 0.18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0.99 ± 0.12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5E91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5.31 ± 0.06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5.29 ± 0.04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C3CB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16.2 ± 1.2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15.9 ± 0.8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25A8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8A8C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037D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BAAA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F415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1.58 ± 0.31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1.37 ± 0.16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B203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1.16 ± 0.21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1.11 ± 0.12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ED35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5.35 ± 0.07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5.34 ± 0.04 </w:t>
            </w:r>
          </w:p>
        </w:tc>
        <w:tc>
          <w:tcPr>
            <w:tcW w:w="65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F6F4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17.1 ± 1.4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16.7 ± 0.8 </w:t>
            </w:r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CBE2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6A87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9CB1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07CA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</w:tr>
      <w:tr w:rsidR="00F105AA" w:rsidRPr="00F105AA" w14:paraId="6F9DE5B7" w14:textId="77777777" w:rsidTr="00F105AA">
        <w:trPr>
          <w:trHeight w:val="653"/>
        </w:trPr>
        <w:tc>
          <w:tcPr>
            <w:tcW w:w="6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F110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L. Zhu</w:t>
            </w:r>
          </w:p>
        </w:tc>
        <w:tc>
          <w:tcPr>
            <w:tcW w:w="6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FDBF1D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2017</w:t>
            </w:r>
          </w:p>
        </w:tc>
        <w:tc>
          <w:tcPr>
            <w:tcW w:w="12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9BFE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b-values:0, 25, 50, 75, 100, 150, 200, 500, and 800</w:t>
            </w:r>
          </w:p>
        </w:tc>
        <w:tc>
          <w:tcPr>
            <w:tcW w:w="10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50C2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CR 25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PR 12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0870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1.01 ± 0.12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0.95 ± 0.16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883B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0.86 ± 0.11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0.85 ± 0.15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0CB9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30.95 ± 26.68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21.51 ± 13.32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FDCE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12.50 ± 4.71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8.62 ± 2.96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9D9A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0298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4C5B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158B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4510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1.43 ± 0.22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1.33 ± 0.22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51B0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1.13 ± 0.12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1.17 ± 0.19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B098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30.74 ± 20.61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37.03 ± 25.21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9510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19.42 ± 8.02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15.36 ± 7.87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6D40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12A3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D951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D58A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F4C4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1.67 ± 0.19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1.56 ± 0.19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DDD1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1.29 ± 0.14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1.27 ± 0.13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7960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33.49 ± 21.24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36.87 ± 32.31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30F6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22.19 ± 7.23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17.47 ± 8.13 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327E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1.64 ± 0.15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1.76 ± 0.16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FA7C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1.39 ± 0.12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1.41 ± 0.13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57BA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43.29 ± 16.13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22.81 ± 12.58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58C2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16.72 ± 5.85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18.55 ± 6.94</w:t>
            </w:r>
          </w:p>
        </w:tc>
      </w:tr>
      <w:tr w:rsidR="00F105AA" w:rsidRPr="00F105AA" w14:paraId="770E68E6" w14:textId="77777777" w:rsidTr="00F105AA">
        <w:trPr>
          <w:trHeight w:val="1741"/>
        </w:trPr>
        <w:tc>
          <w:tcPr>
            <w:tcW w:w="6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296D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lastRenderedPageBreak/>
              <w:t>L. Zhu</w:t>
            </w:r>
          </w:p>
        </w:tc>
        <w:tc>
          <w:tcPr>
            <w:tcW w:w="6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29719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2017</w:t>
            </w:r>
          </w:p>
        </w:tc>
        <w:tc>
          <w:tcPr>
            <w:tcW w:w="12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B426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b values :0, 10, 20, 30, 40, 50,100, 150, 200, 350, 500, 650, 800, 1000</w:t>
            </w:r>
          </w:p>
        </w:tc>
        <w:tc>
          <w:tcPr>
            <w:tcW w:w="10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EEBE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CR (n=20);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PR (n=10);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good prognosis-complete remission (n-21);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poor prognosis-were death, recurrence or sustained disease (n=9)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C637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1.03 ± 0.19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0.99 ± 0.16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FC92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0.87 ± 0.18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0.86 ± 0.13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5E67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29.00 ± 21.80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28.19 ± 20.08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74DA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12.48 ± 5.03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9.47 ± 3.11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9F0A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133D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EB9C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954F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C78F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1.40 ± 0.14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1.23 ± 0.18*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A812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1.11 ± 0.17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1.07 ± 0.13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905E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36.54 ± 22.07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39.23 ± 20.08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3BE1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17.73 ± 9.11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12.59 ± 4.40*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F5B8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7439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8671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7035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9014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1.64 ± 0.13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1.41 ± 0.22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3736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1.29 ± 0.14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1.16 ± 0.15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F62D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36.98 ± 24.49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25.40 ± 14.98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F372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22.30 ± 8.16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14.22 ± 4.35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2DE3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35C5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A3B3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E7D0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</w:tr>
      <w:tr w:rsidR="00F105AA" w:rsidRPr="00F105AA" w14:paraId="66D2EE46" w14:textId="77777777" w:rsidTr="00F105AA">
        <w:trPr>
          <w:trHeight w:val="1337"/>
        </w:trPr>
        <w:tc>
          <w:tcPr>
            <w:tcW w:w="6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B421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fr-FR"/>
              </w:rPr>
              <w:t>C. Xu, H. Sun, S. Du and J. Xin</w:t>
            </w:r>
          </w:p>
        </w:tc>
        <w:tc>
          <w:tcPr>
            <w:tcW w:w="6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2E34A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2019</w:t>
            </w:r>
          </w:p>
        </w:tc>
        <w:tc>
          <w:tcPr>
            <w:tcW w:w="12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668A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b values :0,10, 25, 50, 75,100,125,150, 200, 300, 400, 600, 800, and 1,000</w:t>
            </w:r>
          </w:p>
        </w:tc>
        <w:tc>
          <w:tcPr>
            <w:tcW w:w="10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8745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complete metabolic responders (CMR) (n=28)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non-complete metabolic responders(non-CMR)(n=13)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388D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48CA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Dmean 0.94±0.12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0.95±0.17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49B2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1727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Fmean 12.82±3.63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11.69±3.84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0779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90FE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423A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7A3F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B0C3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02B4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98E3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2007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8B45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A4E2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Dmean 1.23±0.19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1.09±0.22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5405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2A52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Fmean 18.36±4.4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14.57±4.48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65E3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98C1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14BD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6608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0E49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E69B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B85A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3132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</w:tr>
      <w:tr w:rsidR="00F105AA" w:rsidRPr="00F105AA" w14:paraId="2C3F00DA" w14:textId="77777777" w:rsidTr="00F105AA">
        <w:trPr>
          <w:trHeight w:val="1225"/>
        </w:trPr>
        <w:tc>
          <w:tcPr>
            <w:tcW w:w="6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BE03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it-IT"/>
              </w:rPr>
              <w:t>H. Bian, F. Liu, S. Chen, G. Li, Y. Song, M. Sun and H. Dong</w:t>
            </w:r>
          </w:p>
        </w:tc>
        <w:tc>
          <w:tcPr>
            <w:tcW w:w="6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5E104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2019</w:t>
            </w:r>
          </w:p>
        </w:tc>
        <w:tc>
          <w:tcPr>
            <w:tcW w:w="12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B64F6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b-values:0, 50, 200, 450, and 850</w:t>
            </w:r>
          </w:p>
        </w:tc>
        <w:tc>
          <w:tcPr>
            <w:tcW w:w="10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0696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good prognosis group(n=22)CR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poor prognosis group(n=6) non-CR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83F2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ADCmin 0.66± 0.08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    0.56±0.14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ADCmean 0.98± 0.10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     0.9945±0.2168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A9CF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ADCfast 0.01± 0.00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0.01±0.00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5AB7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ADCslow 0.78± 0.09</w:t>
            </w:r>
            <w:r w:rsidRPr="00F105AA">
              <w:rPr>
                <w:rFonts w:ascii="MS Gothic" w:eastAsia="MS Gothic" w:hAnsi="MS Gothic" w:cs="MS Gothic" w:hint="eastAsia"/>
                <w:color w:val="000000"/>
                <w:kern w:val="24"/>
                <w:sz w:val="10"/>
                <w:szCs w:val="10"/>
              </w:rPr>
              <w:t>∗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0.67±0.07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FE35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Ffast 20.90± 5.70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22.30±2.00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1B57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ADCmin 0.73±0.093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0.67±0.13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ADCmean 1.10±0.075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1.15±0.16 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C1BF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0.02±0.002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0.01±0.004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94B8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0.82±0.14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0.74±0.05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3B63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29.70±6.40</w:t>
            </w:r>
            <w:r w:rsidRPr="00F105AA">
              <w:rPr>
                <w:rFonts w:ascii="MS Gothic" w:eastAsia="MS Gothic" w:hAnsi="MS Gothic" w:cs="MS Gothic" w:hint="eastAsia"/>
                <w:color w:val="000000"/>
                <w:kern w:val="24"/>
                <w:sz w:val="10"/>
                <w:szCs w:val="10"/>
              </w:rPr>
              <w:t>∗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,†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24.10±2.70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12D1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BF3D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7790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B7C5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D7A7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ADCmin 1.02± 0.15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0.858±0.15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ADCmean 1.39± 0.18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 1.26±0.15 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0A3F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ADCfast 0.02± 0.00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0.16±0.01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F080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ADCslow 0.88± 0.14</w:t>
            </w:r>
            <w:r w:rsidRPr="00F105AA">
              <w:rPr>
                <w:rFonts w:ascii="MS Gothic" w:eastAsia="MS Gothic" w:hAnsi="MS Gothic" w:cs="MS Gothic" w:hint="eastAsia"/>
                <w:color w:val="000000"/>
                <w:kern w:val="24"/>
                <w:sz w:val="10"/>
                <w:szCs w:val="10"/>
              </w:rPr>
              <w:t>∗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0.78±0.08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4EC4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Ffast 32.50± 8.30</w:t>
            </w:r>
            <w:r w:rsidRPr="00F105AA">
              <w:rPr>
                <w:rFonts w:ascii="MS Gothic" w:eastAsia="MS Gothic" w:hAnsi="MS Gothic" w:cs="MS Gothic" w:hint="eastAsia"/>
                <w:color w:val="000000"/>
                <w:kern w:val="24"/>
                <w:sz w:val="10"/>
                <w:szCs w:val="10"/>
              </w:rPr>
              <w:t>∗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28.30±8.40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A69C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8609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E595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672A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9BA9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1.02± 0.06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 xml:space="preserve">1.01±0.18 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86D6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0.01± 0.00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0.01±0.00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AD36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0.71± 0.14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0.80±0.11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BEF7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30.20± 4.10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28.20±1.70</w:t>
            </w:r>
          </w:p>
        </w:tc>
      </w:tr>
      <w:tr w:rsidR="00F105AA" w:rsidRPr="00F105AA" w14:paraId="2513F220" w14:textId="77777777" w:rsidTr="00F105AA">
        <w:trPr>
          <w:trHeight w:val="1002"/>
        </w:trPr>
        <w:tc>
          <w:tcPr>
            <w:tcW w:w="66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0636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J. Li, J. Qu, H. Zhang, X. Zhang, S. Cheng, M. Zhang, L. Guo, L. Jia and H. Li</w:t>
            </w:r>
          </w:p>
        </w:tc>
        <w:tc>
          <w:tcPr>
            <w:tcW w:w="63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1D601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2018</w:t>
            </w:r>
          </w:p>
        </w:tc>
        <w:tc>
          <w:tcPr>
            <w:tcW w:w="12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BED0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DWI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：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800   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IVIM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：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0,25,50,75,100,200,400,600,800,1200</w:t>
            </w:r>
          </w:p>
        </w:tc>
        <w:tc>
          <w:tcPr>
            <w:tcW w:w="10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131BC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sensitive  group (CR and PR) (n = 48)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Insensitive group (SD and PD) (n =15)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DCD5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0.74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0.46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1.14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  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中位数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 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0.56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0.43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0.71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C615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0.64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0.33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0.91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0.49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0.37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0.60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F50C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8.42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2.30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21.40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7.17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4.02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9.33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A93A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8.10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4.45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11.36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11.35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8.34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13.89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FFBD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E00C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00A8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01CF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4976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162E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BDD8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E8B4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26A6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1.07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0.69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1.49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0.62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0.38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0.85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8C71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0.95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0.62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1.28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0.58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0.39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0.77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97BE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7.38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2.94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18.70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7.10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4.83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9.42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2B3D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12.36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8.58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16.63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11.03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9.69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14.78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9388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AB0E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1F658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4793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A23D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1.24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0.83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1.75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0.69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0.41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0.99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ED80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1.12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0.72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1.59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0.61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0.40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0.89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2A9AF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8.67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2.46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17.20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8.15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5.57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10.45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490CD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12.36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8.58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16.63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10.26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9.56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14.45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</w:tr>
      <w:tr w:rsidR="00F105AA" w:rsidRPr="00F105AA" w14:paraId="43645BF8" w14:textId="77777777" w:rsidTr="00F105AA">
        <w:trPr>
          <w:trHeight w:val="2612"/>
        </w:trPr>
        <w:tc>
          <w:tcPr>
            <w:tcW w:w="66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C6D7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lastRenderedPageBreak/>
              <w:t xml:space="preserve">Li Zhu , Lijing Zhu , Hua Shi , Huanhuan Wang , Jing Yan , Baorui Liu , Weibo Chen , Jian He , Zhengyang Zhou , Xiaofeng Yang and Tian Liu 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F949D" w14:textId="77777777" w:rsidR="00F105AA" w:rsidRPr="00F105AA" w:rsidRDefault="00F105AA" w:rsidP="00F105AA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2016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541F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IVIM sequence ax(TR/TE = 2834.0/ 105.0 ms, matrix size = 152 × 120, FOV = 30 × 40 cm, ST = 6 mm, intersection gap = 0.5 mm, NSA = 1; b-values=0, 10, 20, 30, 40, 50, 100, 150, 200, 350, 500, 650, 800, 1000 s /mm2 )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FC4F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pt-BR"/>
              </w:rPr>
              <w:t>CR (n=18);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pt-BR"/>
              </w:rPr>
              <w:br/>
              <w:t>PR (n=3);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33E3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1.00 ± 0.11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5EC8B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0.85 ± 0.12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044F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0.12 ± 0.52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1D77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8.10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4.45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11.36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br/>
              <w:t>11.35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（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8.34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，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13.90</w:t>
            </w:r>
            <w:r w:rsidRPr="00F105AA">
              <w:rPr>
                <w:rFonts w:ascii="Times New Roman" w:eastAsia="等线" w:hAnsi="Times New Roman" w:cs="Times New Roman" w:hint="eastAsia"/>
                <w:color w:val="000000"/>
                <w:kern w:val="24"/>
                <w:sz w:val="10"/>
                <w:szCs w:val="10"/>
              </w:rPr>
              <w:t>）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320F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42A4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5AB8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1F81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75DF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1.39 ± 0.26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D0E9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1.09 ± 0.14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4CD3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33.73 ± 21.76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13FE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0.20 ± 0.90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D25A3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9A8D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F3D04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46E11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NA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F2AB7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1.66 ± 0.17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66C39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1.31 ± 0.11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293F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34.80 ± 21.00 </w:t>
            </w:r>
          </w:p>
        </w:tc>
        <w:tc>
          <w:tcPr>
            <w:tcW w:w="65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30242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 xml:space="preserve">0.22 ± 0.79 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A792A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1.67 ± 0.16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71C45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1.41 ± 0.13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45F00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34.44 ± 17.30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D7E56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</w:rPr>
              <w:t>0.18 ± 0.58</w:t>
            </w:r>
          </w:p>
        </w:tc>
      </w:tr>
      <w:tr w:rsidR="00F105AA" w:rsidRPr="00F105AA" w14:paraId="238DDA3D" w14:textId="77777777" w:rsidTr="00F105AA">
        <w:trPr>
          <w:trHeight w:val="692"/>
        </w:trPr>
        <w:tc>
          <w:tcPr>
            <w:tcW w:w="10260" w:type="dxa"/>
            <w:gridSpan w:val="14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911CE" w14:textId="77777777" w:rsidR="00F105AA" w:rsidRPr="00F105AA" w:rsidRDefault="00F105AA" w:rsidP="00F105A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fr-FR"/>
              </w:rPr>
              <w:t>ADC, apparent diffusion coefficient; D, true diffusion coefficient; D* , perfusion-related pseudo-diffusion coefficient; (×10</w:t>
            </w:r>
            <w:r w:rsidRPr="00F105AA">
              <w:rPr>
                <w:rFonts w:ascii="Times New Roman" w:eastAsia="微软雅黑" w:hAnsi="Times New Roman" w:cs="Times New Roman"/>
                <w:color w:val="000000"/>
                <w:kern w:val="24"/>
                <w:sz w:val="10"/>
                <w:szCs w:val="10"/>
                <w:lang w:val="fr-FR"/>
              </w:rPr>
              <w:t>−</w:t>
            </w:r>
            <w:r w:rsidRPr="00F105AA">
              <w:rPr>
                <w:rFonts w:ascii="Times New Roman" w:eastAsia="等线" w:hAnsi="Times New Roman" w:cs="Times New Roman"/>
                <w:color w:val="000000"/>
                <w:kern w:val="24"/>
                <w:sz w:val="10"/>
                <w:szCs w:val="10"/>
                <w:lang w:val="fr-FR"/>
              </w:rPr>
              <w:t xml:space="preserve">3 mm2 /s)  f, perfusion fraction.%) </w:t>
            </w: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D0E6F" w14:textId="77777777" w:rsidR="00F105AA" w:rsidRPr="00F105AA" w:rsidRDefault="00F105AA" w:rsidP="00F105AA">
            <w:pPr>
              <w:rPr>
                <w:rFonts w:ascii="Times New Roman" w:eastAsia="宋体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FA93D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C7F18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4B853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024B0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C5A4B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0A75E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19CDC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B8A5A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75DC8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5BF9D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4AA79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CC5E3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807ED0" w14:textId="77777777" w:rsidR="00F105AA" w:rsidRPr="00F105AA" w:rsidRDefault="00F105AA" w:rsidP="00F105AA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</w:tbl>
    <w:p w14:paraId="2089D873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63417C4E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624AB5F1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6732D72F" w14:textId="77777777" w:rsidR="003B6CFA" w:rsidRPr="003B6CFA" w:rsidRDefault="003B6CFA" w:rsidP="003B6CFA">
      <w:pPr>
        <w:rPr>
          <w:rFonts w:ascii="Times New Roman" w:eastAsia="宋体" w:hAnsi="Times New Roman" w:cs="Times New Roman"/>
          <w:color w:val="000000"/>
          <w:szCs w:val="21"/>
        </w:rPr>
      </w:pPr>
    </w:p>
    <w:p w14:paraId="49A62D31" w14:textId="590A5C95" w:rsidR="003B6CFA" w:rsidRPr="003B6CFA" w:rsidRDefault="003B6CFA"/>
    <w:p w14:paraId="7D8EA1AF" w14:textId="63DDA371" w:rsidR="003B6CFA" w:rsidRDefault="003B6CFA"/>
    <w:p w14:paraId="48D42368" w14:textId="0D5F2234" w:rsidR="003B6CFA" w:rsidRDefault="003B6CFA"/>
    <w:p w14:paraId="15AFDB11" w14:textId="1673DB2B" w:rsidR="003B6CFA" w:rsidRDefault="003B6CFA"/>
    <w:tbl>
      <w:tblPr>
        <w:tblW w:w="12675" w:type="dxa"/>
        <w:shd w:val="clear" w:color="auto" w:fill="FFFFFF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82"/>
        <w:gridCol w:w="1312"/>
        <w:gridCol w:w="1920"/>
        <w:gridCol w:w="1411"/>
        <w:gridCol w:w="1750"/>
        <w:gridCol w:w="1751"/>
        <w:gridCol w:w="1620"/>
        <w:gridCol w:w="1529"/>
      </w:tblGrid>
      <w:tr w:rsidR="006064DC" w:rsidRPr="006064DC" w14:paraId="1EE907A8" w14:textId="77777777" w:rsidTr="006064DC">
        <w:trPr>
          <w:trHeight w:val="330"/>
        </w:trPr>
        <w:tc>
          <w:tcPr>
            <w:tcW w:w="952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659E7" w14:textId="65F32F27" w:rsidR="006064DC" w:rsidRPr="006064DC" w:rsidRDefault="006064DC" w:rsidP="006064DC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 xml:space="preserve">S </w:t>
            </w: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 xml:space="preserve">TABLE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4</w:t>
            </w: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. QUIPS Results for Bias Assessment of Prognostic Studies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3DB85" w14:textId="77777777" w:rsidR="006064DC" w:rsidRPr="006064DC" w:rsidRDefault="006064DC" w:rsidP="006064DC">
            <w:pP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946AC" w14:textId="77777777" w:rsidR="006064DC" w:rsidRPr="006064DC" w:rsidRDefault="006064DC" w:rsidP="006064DC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</w:tc>
      </w:tr>
      <w:tr w:rsidR="006064DC" w:rsidRPr="006064DC" w14:paraId="05D284E5" w14:textId="77777777" w:rsidTr="006B31F3">
        <w:trPr>
          <w:trHeight w:val="1896"/>
        </w:trPr>
        <w:tc>
          <w:tcPr>
            <w:tcW w:w="138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78355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lastRenderedPageBreak/>
              <w:t>Author</w:t>
            </w:r>
          </w:p>
        </w:tc>
        <w:tc>
          <w:tcPr>
            <w:tcW w:w="131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642C6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Year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C792E" w14:textId="77777777" w:rsidR="006064DC" w:rsidRPr="006064DC" w:rsidRDefault="006064DC" w:rsidP="006064D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Study participation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1859F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Study attrition</w:t>
            </w:r>
          </w:p>
        </w:tc>
        <w:tc>
          <w:tcPr>
            <w:tcW w:w="17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FE92C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Prognostic factor measurement</w:t>
            </w:r>
          </w:p>
        </w:tc>
        <w:tc>
          <w:tcPr>
            <w:tcW w:w="175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1109A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Outcome measurement</w:t>
            </w:r>
          </w:p>
        </w:tc>
        <w:tc>
          <w:tcPr>
            <w:tcW w:w="16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6D90F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Study confounding</w:t>
            </w:r>
          </w:p>
        </w:tc>
        <w:tc>
          <w:tcPr>
            <w:tcW w:w="152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1EA9F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b/>
                <w:color w:val="000000"/>
                <w:kern w:val="24"/>
                <w:sz w:val="20"/>
              </w:rPr>
              <w:t>Statistical analysis and reporting</w:t>
            </w:r>
          </w:p>
        </w:tc>
      </w:tr>
      <w:tr w:rsidR="006064DC" w:rsidRPr="006064DC" w14:paraId="13753EF3" w14:textId="77777777" w:rsidTr="006B31F3">
        <w:trPr>
          <w:trHeight w:val="371"/>
        </w:trPr>
        <w:tc>
          <w:tcPr>
            <w:tcW w:w="13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10254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C. Xu</w:t>
            </w:r>
          </w:p>
        </w:tc>
        <w:tc>
          <w:tcPr>
            <w:tcW w:w="13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3591B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2019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E661C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FF90C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1EFAB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?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43056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F3C71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E95CB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091DD44D" w14:textId="77777777" w:rsidTr="006064DC">
        <w:trPr>
          <w:trHeight w:val="371"/>
        </w:trPr>
        <w:tc>
          <w:tcPr>
            <w:tcW w:w="1382" w:type="dxa"/>
            <w:shd w:val="clear" w:color="auto" w:fill="FFFFFF"/>
            <w:vAlign w:val="center"/>
            <w:hideMark/>
          </w:tcPr>
          <w:p w14:paraId="13FCBE95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H. Kato</w:t>
            </w:r>
          </w:p>
        </w:tc>
        <w:tc>
          <w:tcPr>
            <w:tcW w:w="1312" w:type="dxa"/>
            <w:shd w:val="clear" w:color="auto" w:fill="FFFFFF"/>
            <w:vAlign w:val="center"/>
            <w:hideMark/>
          </w:tcPr>
          <w:p w14:paraId="6228067C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2019</w:t>
            </w:r>
          </w:p>
        </w:tc>
        <w:tc>
          <w:tcPr>
            <w:tcW w:w="1920" w:type="dxa"/>
            <w:shd w:val="clear" w:color="auto" w:fill="FFFFFF"/>
            <w:vAlign w:val="bottom"/>
            <w:hideMark/>
          </w:tcPr>
          <w:p w14:paraId="348DB144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shd w:val="clear" w:color="auto" w:fill="FFFFFF"/>
            <w:vAlign w:val="bottom"/>
            <w:hideMark/>
          </w:tcPr>
          <w:p w14:paraId="3AD65EF6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shd w:val="clear" w:color="auto" w:fill="FFFFFF"/>
            <w:vAlign w:val="center"/>
            <w:hideMark/>
          </w:tcPr>
          <w:p w14:paraId="4D05D45D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?</w:t>
            </w:r>
          </w:p>
        </w:tc>
        <w:tc>
          <w:tcPr>
            <w:tcW w:w="1751" w:type="dxa"/>
            <w:shd w:val="clear" w:color="auto" w:fill="FFFFFF"/>
            <w:vAlign w:val="bottom"/>
            <w:hideMark/>
          </w:tcPr>
          <w:p w14:paraId="73B0DB2F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14:paraId="62D58D63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shd w:val="clear" w:color="auto" w:fill="FFFFFF"/>
            <w:vAlign w:val="bottom"/>
            <w:hideMark/>
          </w:tcPr>
          <w:p w14:paraId="359DFDC9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04AE0D71" w14:textId="77777777" w:rsidTr="006064DC">
        <w:trPr>
          <w:trHeight w:val="371"/>
        </w:trPr>
        <w:tc>
          <w:tcPr>
            <w:tcW w:w="1382" w:type="dxa"/>
            <w:shd w:val="clear" w:color="auto" w:fill="FFFFFF"/>
            <w:vAlign w:val="center"/>
            <w:hideMark/>
          </w:tcPr>
          <w:p w14:paraId="58663E00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H. Bian</w:t>
            </w:r>
          </w:p>
        </w:tc>
        <w:tc>
          <w:tcPr>
            <w:tcW w:w="1312" w:type="dxa"/>
            <w:shd w:val="clear" w:color="auto" w:fill="FFFFFF"/>
            <w:vAlign w:val="center"/>
            <w:hideMark/>
          </w:tcPr>
          <w:p w14:paraId="65657065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2019</w:t>
            </w:r>
          </w:p>
        </w:tc>
        <w:tc>
          <w:tcPr>
            <w:tcW w:w="1920" w:type="dxa"/>
            <w:shd w:val="clear" w:color="auto" w:fill="FFFFFF"/>
            <w:vAlign w:val="bottom"/>
            <w:hideMark/>
          </w:tcPr>
          <w:p w14:paraId="7F95D031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shd w:val="clear" w:color="auto" w:fill="FFFFFF"/>
            <w:vAlign w:val="bottom"/>
            <w:hideMark/>
          </w:tcPr>
          <w:p w14:paraId="3160F185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shd w:val="clear" w:color="auto" w:fill="FFFFFF"/>
            <w:vAlign w:val="bottom"/>
            <w:hideMark/>
          </w:tcPr>
          <w:p w14:paraId="6F1E4FC2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751" w:type="dxa"/>
            <w:shd w:val="clear" w:color="auto" w:fill="FFFFFF"/>
            <w:vAlign w:val="bottom"/>
            <w:hideMark/>
          </w:tcPr>
          <w:p w14:paraId="78E6BA83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14:paraId="468E294D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shd w:val="clear" w:color="auto" w:fill="FFFFFF"/>
            <w:vAlign w:val="bottom"/>
            <w:hideMark/>
          </w:tcPr>
          <w:p w14:paraId="56D35699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1FD19148" w14:textId="77777777" w:rsidTr="006064DC">
        <w:trPr>
          <w:trHeight w:val="371"/>
        </w:trPr>
        <w:tc>
          <w:tcPr>
            <w:tcW w:w="1382" w:type="dxa"/>
            <w:shd w:val="clear" w:color="auto" w:fill="FFFFFF"/>
            <w:vAlign w:val="center"/>
            <w:hideMark/>
          </w:tcPr>
          <w:p w14:paraId="24466412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J. Li</w:t>
            </w:r>
          </w:p>
        </w:tc>
        <w:tc>
          <w:tcPr>
            <w:tcW w:w="1312" w:type="dxa"/>
            <w:shd w:val="clear" w:color="auto" w:fill="FFFFFF"/>
            <w:vAlign w:val="center"/>
            <w:hideMark/>
          </w:tcPr>
          <w:p w14:paraId="3B79CCF9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2018</w:t>
            </w:r>
          </w:p>
        </w:tc>
        <w:tc>
          <w:tcPr>
            <w:tcW w:w="1920" w:type="dxa"/>
            <w:shd w:val="clear" w:color="auto" w:fill="FFFFFF"/>
            <w:vAlign w:val="bottom"/>
            <w:hideMark/>
          </w:tcPr>
          <w:p w14:paraId="4AB93C68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shd w:val="clear" w:color="auto" w:fill="FFFFFF"/>
            <w:vAlign w:val="bottom"/>
            <w:hideMark/>
          </w:tcPr>
          <w:p w14:paraId="3F4F345A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shd w:val="clear" w:color="auto" w:fill="FFFFFF"/>
            <w:vAlign w:val="bottom"/>
            <w:hideMark/>
          </w:tcPr>
          <w:p w14:paraId="5C9840FA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1" w:type="dxa"/>
            <w:shd w:val="clear" w:color="auto" w:fill="FFFFFF"/>
            <w:vAlign w:val="bottom"/>
            <w:hideMark/>
          </w:tcPr>
          <w:p w14:paraId="5801A051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14:paraId="51703A09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shd w:val="clear" w:color="auto" w:fill="FFFFFF"/>
            <w:vAlign w:val="bottom"/>
            <w:hideMark/>
          </w:tcPr>
          <w:p w14:paraId="596F59B6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52A8D402" w14:textId="77777777" w:rsidTr="006064DC">
        <w:trPr>
          <w:trHeight w:val="371"/>
        </w:trPr>
        <w:tc>
          <w:tcPr>
            <w:tcW w:w="1382" w:type="dxa"/>
            <w:shd w:val="clear" w:color="auto" w:fill="FFFFFF"/>
            <w:vAlign w:val="center"/>
            <w:hideMark/>
          </w:tcPr>
          <w:p w14:paraId="45BF3BCA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L. Zhu</w:t>
            </w:r>
          </w:p>
        </w:tc>
        <w:tc>
          <w:tcPr>
            <w:tcW w:w="1312" w:type="dxa"/>
            <w:shd w:val="clear" w:color="auto" w:fill="FFFFFF"/>
            <w:vAlign w:val="center"/>
            <w:hideMark/>
          </w:tcPr>
          <w:p w14:paraId="54659CE8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2017</w:t>
            </w:r>
          </w:p>
        </w:tc>
        <w:tc>
          <w:tcPr>
            <w:tcW w:w="1920" w:type="dxa"/>
            <w:shd w:val="clear" w:color="auto" w:fill="FFFFFF"/>
            <w:vAlign w:val="bottom"/>
            <w:hideMark/>
          </w:tcPr>
          <w:p w14:paraId="59415908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shd w:val="clear" w:color="auto" w:fill="FFFFFF"/>
            <w:vAlign w:val="bottom"/>
            <w:hideMark/>
          </w:tcPr>
          <w:p w14:paraId="3B015F33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750" w:type="dxa"/>
            <w:shd w:val="clear" w:color="auto" w:fill="FFFFFF"/>
            <w:vAlign w:val="bottom"/>
            <w:hideMark/>
          </w:tcPr>
          <w:p w14:paraId="3EADF275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751" w:type="dxa"/>
            <w:shd w:val="clear" w:color="auto" w:fill="FFFFFF"/>
            <w:vAlign w:val="bottom"/>
            <w:hideMark/>
          </w:tcPr>
          <w:p w14:paraId="323B3E8F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14:paraId="25DBB570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shd w:val="clear" w:color="auto" w:fill="FFFFFF"/>
            <w:vAlign w:val="bottom"/>
            <w:hideMark/>
          </w:tcPr>
          <w:p w14:paraId="78CC5A15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38D3736F" w14:textId="77777777" w:rsidTr="006064DC">
        <w:trPr>
          <w:trHeight w:val="371"/>
        </w:trPr>
        <w:tc>
          <w:tcPr>
            <w:tcW w:w="1382" w:type="dxa"/>
            <w:shd w:val="clear" w:color="auto" w:fill="FFFFFF"/>
            <w:vAlign w:val="center"/>
            <w:hideMark/>
          </w:tcPr>
          <w:p w14:paraId="31DA3EA6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L. Zhu</w:t>
            </w:r>
          </w:p>
        </w:tc>
        <w:tc>
          <w:tcPr>
            <w:tcW w:w="1312" w:type="dxa"/>
            <w:shd w:val="clear" w:color="auto" w:fill="FFFFFF"/>
            <w:vAlign w:val="center"/>
            <w:hideMark/>
          </w:tcPr>
          <w:p w14:paraId="1CA22BB1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2017</w:t>
            </w:r>
          </w:p>
        </w:tc>
        <w:tc>
          <w:tcPr>
            <w:tcW w:w="1920" w:type="dxa"/>
            <w:shd w:val="clear" w:color="auto" w:fill="FFFFFF"/>
            <w:vAlign w:val="bottom"/>
            <w:hideMark/>
          </w:tcPr>
          <w:p w14:paraId="1472E06C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shd w:val="clear" w:color="auto" w:fill="FFFFFF"/>
            <w:vAlign w:val="bottom"/>
            <w:hideMark/>
          </w:tcPr>
          <w:p w14:paraId="16184EC7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shd w:val="clear" w:color="auto" w:fill="FFFFFF"/>
            <w:vAlign w:val="bottom"/>
            <w:hideMark/>
          </w:tcPr>
          <w:p w14:paraId="3D92DCF8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751" w:type="dxa"/>
            <w:shd w:val="clear" w:color="auto" w:fill="FFFFFF"/>
            <w:vAlign w:val="bottom"/>
            <w:hideMark/>
          </w:tcPr>
          <w:p w14:paraId="4633E42B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shd w:val="clear" w:color="auto" w:fill="FFFFFF"/>
            <w:vAlign w:val="center"/>
            <w:hideMark/>
          </w:tcPr>
          <w:p w14:paraId="4FC529CD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shd w:val="clear" w:color="auto" w:fill="FFFFFF"/>
            <w:vAlign w:val="bottom"/>
            <w:hideMark/>
          </w:tcPr>
          <w:p w14:paraId="59E171B1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49D31730" w14:textId="77777777" w:rsidTr="006064DC">
        <w:trPr>
          <w:trHeight w:val="391"/>
        </w:trPr>
        <w:tc>
          <w:tcPr>
            <w:tcW w:w="138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044E4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L. Zhu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5F90F4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2016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8CE56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09015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？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46379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?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8FDBC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AFAE6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>×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82F15" w14:textId="77777777" w:rsidR="006064DC" w:rsidRPr="006064DC" w:rsidRDefault="006064DC" w:rsidP="006064D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√</w:t>
            </w:r>
          </w:p>
        </w:tc>
      </w:tr>
      <w:tr w:rsidR="006064DC" w:rsidRPr="006064DC" w14:paraId="640CB434" w14:textId="77777777" w:rsidTr="006064DC">
        <w:trPr>
          <w:trHeight w:val="391"/>
        </w:trPr>
        <w:tc>
          <w:tcPr>
            <w:tcW w:w="12675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D6F1E" w14:textId="77777777" w:rsidR="006064DC" w:rsidRPr="006064DC" w:rsidRDefault="006064DC" w:rsidP="006064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</w:rPr>
            </w:pPr>
            <w:r w:rsidRPr="006064DC">
              <w:rPr>
                <w:rFonts w:ascii="Times New Roman" w:eastAsia="宋体" w:hAnsi="Times New Roman" w:cs="Times New Roman" w:hint="eastAsia"/>
                <w:color w:val="000000"/>
                <w:kern w:val="24"/>
                <w:sz w:val="20"/>
              </w:rPr>
              <w:t>‘√’</w:t>
            </w:r>
            <w:r w:rsidRPr="006064DC">
              <w:rPr>
                <w:rFonts w:ascii="Times New Roman" w:eastAsia="宋体" w:hAnsi="Times New Roman" w:cs="Times New Roman"/>
                <w:color w:val="000000"/>
                <w:kern w:val="24"/>
                <w:sz w:val="20"/>
              </w:rPr>
              <w:t xml:space="preserve"> indicates a low risk of bias; ‘?’ a moderate risk and ‘x’ indicates a high risk of bias</w:t>
            </w:r>
          </w:p>
        </w:tc>
      </w:tr>
    </w:tbl>
    <w:p w14:paraId="75ABB8BD" w14:textId="57DB2CBC" w:rsidR="003B6CFA" w:rsidRPr="006064DC" w:rsidRDefault="003B6CFA"/>
    <w:p w14:paraId="0E500EBA" w14:textId="3051B4A9" w:rsidR="003B6CFA" w:rsidRDefault="003B6CFA"/>
    <w:p w14:paraId="498C8EFC" w14:textId="3056405A" w:rsidR="003B6CFA" w:rsidRDefault="003B6CFA"/>
    <w:p w14:paraId="77EF7843" w14:textId="38E58BB1" w:rsidR="003B6CFA" w:rsidRDefault="003B6CFA"/>
    <w:p w14:paraId="592CC7C3" w14:textId="25F8621A" w:rsidR="003B6CFA" w:rsidRDefault="003B6CFA"/>
    <w:p w14:paraId="44D84641" w14:textId="380BF80A" w:rsidR="003B6CFA" w:rsidRDefault="003B6CFA"/>
    <w:p w14:paraId="3E377BF6" w14:textId="719B6E85" w:rsidR="003B6CFA" w:rsidRDefault="003B6CFA"/>
    <w:p w14:paraId="72EBE291" w14:textId="5E5FD76D" w:rsidR="003B6CFA" w:rsidRDefault="003B6CFA"/>
    <w:p w14:paraId="1DD84917" w14:textId="0D78BEB1" w:rsidR="003B6CFA" w:rsidRDefault="003B6CFA"/>
    <w:p w14:paraId="6C383CC7" w14:textId="44808C23" w:rsidR="003B6CFA" w:rsidRDefault="003B6CFA"/>
    <w:p w14:paraId="121303EF" w14:textId="77777777" w:rsidR="00AB1393" w:rsidRDefault="00AB1393" w:rsidP="00AB1393">
      <w:pPr>
        <w:autoSpaceDE w:val="0"/>
        <w:autoSpaceDN w:val="0"/>
        <w:adjustRightInd w:val="0"/>
        <w:snapToGrid w:val="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DAD483B" wp14:editId="7BB8ED0D">
            <wp:extent cx="8863330" cy="51384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C单臂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3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AA138" w14:textId="729BA636" w:rsidR="00AB1393" w:rsidRPr="00AF64A2" w:rsidRDefault="0077494B" w:rsidP="00AB1393">
      <w:pPr>
        <w:autoSpaceDE w:val="0"/>
        <w:autoSpaceDN w:val="0"/>
        <w:adjustRightInd w:val="0"/>
        <w:snapToGrid w:val="0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x-none"/>
        </w:rPr>
      </w:pPr>
      <w:r w:rsidRPr="00AF64A2">
        <w:rPr>
          <w:rFonts w:ascii="Times New Roman" w:hAnsi="Times New Roman" w:cs="Times New Roman"/>
          <w:sz w:val="24"/>
          <w:szCs w:val="24"/>
        </w:rPr>
        <w:lastRenderedPageBreak/>
        <w:t xml:space="preserve">S </w:t>
      </w:r>
      <w:r w:rsidR="00AB1393" w:rsidRPr="00AF64A2">
        <w:rPr>
          <w:rFonts w:ascii="Times New Roman" w:hAnsi="Times New Roman" w:cs="Times New Roman"/>
          <w:sz w:val="24"/>
          <w:szCs w:val="24"/>
        </w:rPr>
        <w:t xml:space="preserve">Figure </w:t>
      </w:r>
      <w:r w:rsidR="00D107FA" w:rsidRPr="00AF64A2">
        <w:rPr>
          <w:rFonts w:ascii="Times New Roman" w:hAnsi="Times New Roman" w:cs="Times New Roman"/>
          <w:sz w:val="24"/>
          <w:szCs w:val="24"/>
        </w:rPr>
        <w:t>1</w:t>
      </w:r>
      <w:r w:rsidR="00AB1393" w:rsidRPr="00AF64A2">
        <w:rPr>
          <w:rFonts w:ascii="Times New Roman" w:hAnsi="Times New Roman" w:cs="Times New Roman"/>
          <w:sz w:val="24"/>
          <w:szCs w:val="24"/>
        </w:rPr>
        <w:t>.</w:t>
      </w:r>
      <w:r w:rsidR="00AB1393" w:rsidRPr="00AF64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Forest plot of standarized mean difference in ADC value between CR and non-CR with an inverse variance random-effects model. </w:t>
      </w:r>
    </w:p>
    <w:p w14:paraId="2757CBEE" w14:textId="77777777" w:rsidR="00AB1393" w:rsidRPr="007B0216" w:rsidRDefault="00AB1393" w:rsidP="00AB1393">
      <w:pPr>
        <w:rPr>
          <w:rFonts w:ascii="Arial" w:hAnsi="Arial" w:cs="Arial"/>
          <w:szCs w:val="21"/>
          <w:lang w:val="x-none"/>
        </w:rPr>
      </w:pPr>
    </w:p>
    <w:p w14:paraId="6E373EF4" w14:textId="77777777" w:rsidR="00AB1393" w:rsidRDefault="00AB1393" w:rsidP="00AB1393">
      <w:pPr>
        <w:rPr>
          <w:rFonts w:ascii="Arial" w:hAnsi="Arial" w:cs="Arial"/>
          <w:szCs w:val="21"/>
        </w:rPr>
      </w:pPr>
    </w:p>
    <w:p w14:paraId="5876FA25" w14:textId="77777777" w:rsidR="00AB1393" w:rsidRDefault="00AB1393" w:rsidP="00AB1393">
      <w:pPr>
        <w:autoSpaceDE w:val="0"/>
        <w:autoSpaceDN w:val="0"/>
        <w:adjustRightInd w:val="0"/>
        <w:snapToGrid w:val="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06B020A" wp14:editId="2439E5EB">
            <wp:extent cx="8863330" cy="51384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单臂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3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73FAC" w14:textId="2C62BF2E" w:rsidR="00AB1393" w:rsidRPr="004739C5" w:rsidRDefault="0077494B" w:rsidP="00AB1393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4739C5">
        <w:rPr>
          <w:rFonts w:ascii="Times New Roman" w:hAnsi="Times New Roman" w:cs="Times New Roman"/>
          <w:sz w:val="24"/>
          <w:szCs w:val="24"/>
        </w:rPr>
        <w:lastRenderedPageBreak/>
        <w:t xml:space="preserve">S </w:t>
      </w:r>
      <w:r w:rsidR="00AB1393" w:rsidRPr="004739C5">
        <w:rPr>
          <w:rFonts w:ascii="Times New Roman" w:hAnsi="Times New Roman" w:cs="Times New Roman"/>
          <w:sz w:val="24"/>
          <w:szCs w:val="24"/>
        </w:rPr>
        <w:t xml:space="preserve">Figure </w:t>
      </w:r>
      <w:r w:rsidRPr="004739C5">
        <w:rPr>
          <w:rFonts w:ascii="Times New Roman" w:hAnsi="Times New Roman" w:cs="Times New Roman"/>
          <w:sz w:val="24"/>
          <w:szCs w:val="24"/>
        </w:rPr>
        <w:t>2</w:t>
      </w:r>
      <w:r w:rsidR="00AB1393" w:rsidRPr="004739C5">
        <w:rPr>
          <w:rFonts w:ascii="Times New Roman" w:hAnsi="Times New Roman" w:cs="Times New Roman"/>
          <w:sz w:val="24"/>
          <w:szCs w:val="24"/>
        </w:rPr>
        <w:t xml:space="preserve">. Forest plot of standarized mean difference in D value between CR and non-CR with an inverse variance random-effects model. </w:t>
      </w:r>
    </w:p>
    <w:p w14:paraId="7F028857" w14:textId="77777777" w:rsidR="00AB1393" w:rsidRPr="007B0216" w:rsidRDefault="00AB1393" w:rsidP="00AB1393">
      <w:pPr>
        <w:rPr>
          <w:rFonts w:ascii="Arial" w:hAnsi="Arial" w:cs="Arial"/>
          <w:szCs w:val="21"/>
          <w:lang w:val="x-none"/>
        </w:rPr>
      </w:pPr>
    </w:p>
    <w:p w14:paraId="1F357029" w14:textId="77777777" w:rsidR="00AB1393" w:rsidRDefault="00AB1393" w:rsidP="00AB1393">
      <w:pPr>
        <w:rPr>
          <w:rFonts w:ascii="Arial" w:hAnsi="Arial" w:cs="Arial"/>
          <w:szCs w:val="21"/>
        </w:rPr>
      </w:pPr>
    </w:p>
    <w:p w14:paraId="601CA6CA" w14:textId="77777777" w:rsidR="00AB1393" w:rsidRDefault="00AB1393" w:rsidP="00AB1393">
      <w:pPr>
        <w:autoSpaceDE w:val="0"/>
        <w:autoSpaceDN w:val="0"/>
        <w:adjustRightInd w:val="0"/>
        <w:snapToGrid w:val="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5C362942" wp14:editId="24D9B9DC">
            <wp:extent cx="8863330" cy="51384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伪单臂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3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781AD" w14:textId="1AD04256" w:rsidR="00AB1393" w:rsidRPr="004739C5" w:rsidRDefault="0077494B" w:rsidP="00AB1393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4739C5">
        <w:rPr>
          <w:rFonts w:ascii="Times New Roman" w:hAnsi="Times New Roman" w:cs="Times New Roman"/>
          <w:sz w:val="24"/>
          <w:szCs w:val="24"/>
        </w:rPr>
        <w:lastRenderedPageBreak/>
        <w:t xml:space="preserve">S </w:t>
      </w:r>
      <w:r w:rsidR="00AB1393" w:rsidRPr="004739C5">
        <w:rPr>
          <w:rFonts w:ascii="Times New Roman" w:hAnsi="Times New Roman" w:cs="Times New Roman"/>
          <w:sz w:val="24"/>
          <w:szCs w:val="24"/>
        </w:rPr>
        <w:t xml:space="preserve">Figure </w:t>
      </w:r>
      <w:r w:rsidRPr="004739C5">
        <w:rPr>
          <w:rFonts w:ascii="Times New Roman" w:hAnsi="Times New Roman" w:cs="Times New Roman"/>
          <w:sz w:val="24"/>
          <w:szCs w:val="24"/>
        </w:rPr>
        <w:t>3</w:t>
      </w:r>
      <w:r w:rsidR="00AB1393" w:rsidRPr="004739C5">
        <w:rPr>
          <w:rFonts w:ascii="Times New Roman" w:hAnsi="Times New Roman" w:cs="Times New Roman"/>
          <w:sz w:val="24"/>
          <w:szCs w:val="24"/>
        </w:rPr>
        <w:t xml:space="preserve">. Forest plot of standarized mean difference in D* value between CR and non-CR with an inverse variance random-effects model. </w:t>
      </w:r>
    </w:p>
    <w:p w14:paraId="5A76B212" w14:textId="77777777" w:rsidR="00AB1393" w:rsidRPr="007B0216" w:rsidRDefault="00AB1393" w:rsidP="00AB1393">
      <w:pPr>
        <w:rPr>
          <w:rFonts w:ascii="Arial" w:hAnsi="Arial" w:cs="Arial"/>
          <w:szCs w:val="21"/>
          <w:lang w:val="x-none"/>
        </w:rPr>
      </w:pPr>
    </w:p>
    <w:p w14:paraId="169A4FC8" w14:textId="77777777" w:rsidR="00AB1393" w:rsidRDefault="00AB1393" w:rsidP="00AB1393">
      <w:pPr>
        <w:rPr>
          <w:rFonts w:ascii="Arial" w:hAnsi="Arial" w:cs="Arial"/>
          <w:szCs w:val="21"/>
        </w:rPr>
      </w:pPr>
    </w:p>
    <w:p w14:paraId="38F36D12" w14:textId="77777777" w:rsidR="00AB1393" w:rsidRDefault="00AB1393" w:rsidP="00AB1393">
      <w:pPr>
        <w:autoSpaceDE w:val="0"/>
        <w:autoSpaceDN w:val="0"/>
        <w:adjustRightInd w:val="0"/>
        <w:snapToGrid w:val="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FBBE5DE" wp14:editId="766E5148">
            <wp:extent cx="8863330" cy="513842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单臂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3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C14F7" w14:textId="30F1F45C" w:rsidR="00AB1393" w:rsidRPr="004802BC" w:rsidRDefault="0077494B" w:rsidP="00AB1393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  <w:r w:rsidRPr="004802BC">
        <w:rPr>
          <w:rFonts w:ascii="Times New Roman" w:hAnsi="Times New Roman" w:cs="Times New Roman"/>
          <w:sz w:val="24"/>
          <w:szCs w:val="24"/>
        </w:rPr>
        <w:lastRenderedPageBreak/>
        <w:t xml:space="preserve">S </w:t>
      </w:r>
      <w:r w:rsidR="00AB1393" w:rsidRPr="004802BC">
        <w:rPr>
          <w:rFonts w:ascii="Times New Roman" w:hAnsi="Times New Roman" w:cs="Times New Roman"/>
          <w:sz w:val="24"/>
          <w:szCs w:val="24"/>
        </w:rPr>
        <w:t xml:space="preserve">Figure </w:t>
      </w:r>
      <w:r w:rsidRPr="004802BC">
        <w:rPr>
          <w:rFonts w:ascii="Times New Roman" w:hAnsi="Times New Roman" w:cs="Times New Roman"/>
          <w:sz w:val="24"/>
          <w:szCs w:val="24"/>
        </w:rPr>
        <w:t>4</w:t>
      </w:r>
      <w:r w:rsidR="00AB1393" w:rsidRPr="004802BC">
        <w:rPr>
          <w:rFonts w:ascii="Times New Roman" w:hAnsi="Times New Roman" w:cs="Times New Roman"/>
          <w:sz w:val="24"/>
          <w:szCs w:val="24"/>
        </w:rPr>
        <w:t xml:space="preserve">. Forest plot of standarized mean difference in f value between CR and non-CR with an inverse variance random-effects model. </w:t>
      </w:r>
    </w:p>
    <w:p w14:paraId="01401284" w14:textId="77777777" w:rsidR="00AB1393" w:rsidRPr="00AB1393" w:rsidRDefault="00AB1393">
      <w:pPr>
        <w:rPr>
          <w:lang w:val="x-none"/>
        </w:rPr>
      </w:pPr>
    </w:p>
    <w:sectPr w:rsidR="00AB1393" w:rsidRPr="00AB1393" w:rsidSect="00BC55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5C9035" w14:textId="77777777" w:rsidR="006B6B13" w:rsidRDefault="006B6B13" w:rsidP="006747F9">
      <w:r>
        <w:separator/>
      </w:r>
    </w:p>
  </w:endnote>
  <w:endnote w:type="continuationSeparator" w:id="0">
    <w:p w14:paraId="69727CC0" w14:textId="77777777" w:rsidR="006B6B13" w:rsidRDefault="006B6B13" w:rsidP="00674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DC4E6" w14:textId="77777777" w:rsidR="006B6B13" w:rsidRDefault="006B6B13" w:rsidP="006747F9">
      <w:r>
        <w:separator/>
      </w:r>
    </w:p>
  </w:footnote>
  <w:footnote w:type="continuationSeparator" w:id="0">
    <w:p w14:paraId="00A8AC18" w14:textId="77777777" w:rsidR="006B6B13" w:rsidRDefault="006B6B13" w:rsidP="00674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zMjU3NzExMTIxsTBQ0lEKTi0uzszPAykwqgUAyQQa1CwAAAA="/>
  </w:docVars>
  <w:rsids>
    <w:rsidRoot w:val="00A03EFE"/>
    <w:rsid w:val="00006AC6"/>
    <w:rsid w:val="000552E6"/>
    <w:rsid w:val="00081111"/>
    <w:rsid w:val="000B296E"/>
    <w:rsid w:val="00145946"/>
    <w:rsid w:val="002229D9"/>
    <w:rsid w:val="003B6CFA"/>
    <w:rsid w:val="003E3C70"/>
    <w:rsid w:val="00412AB0"/>
    <w:rsid w:val="004739C5"/>
    <w:rsid w:val="004802BC"/>
    <w:rsid w:val="004F0B75"/>
    <w:rsid w:val="005569EC"/>
    <w:rsid w:val="00602B95"/>
    <w:rsid w:val="006064DC"/>
    <w:rsid w:val="00663C5F"/>
    <w:rsid w:val="006747F9"/>
    <w:rsid w:val="006B31F3"/>
    <w:rsid w:val="006B6B13"/>
    <w:rsid w:val="0077494B"/>
    <w:rsid w:val="007A7F58"/>
    <w:rsid w:val="0083310B"/>
    <w:rsid w:val="00923781"/>
    <w:rsid w:val="00933760"/>
    <w:rsid w:val="00A03EFE"/>
    <w:rsid w:val="00A40B9D"/>
    <w:rsid w:val="00AB0DC3"/>
    <w:rsid w:val="00AB1393"/>
    <w:rsid w:val="00AF64A2"/>
    <w:rsid w:val="00BC55BD"/>
    <w:rsid w:val="00C13394"/>
    <w:rsid w:val="00CB5ACC"/>
    <w:rsid w:val="00D107FA"/>
    <w:rsid w:val="00D118FF"/>
    <w:rsid w:val="00D11CD6"/>
    <w:rsid w:val="00D37CDE"/>
    <w:rsid w:val="00E476F0"/>
    <w:rsid w:val="00E90CE0"/>
    <w:rsid w:val="00ED56EB"/>
    <w:rsid w:val="00F105AA"/>
    <w:rsid w:val="00F6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75633"/>
  <w15:chartTrackingRefBased/>
  <w15:docId w15:val="{8C3D38A6-D4D8-46B8-A97A-D4D04C1FA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7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7F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6CF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6C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3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23</Pages>
  <Words>3012</Words>
  <Characters>17169</Characters>
  <Application>Microsoft Office Word</Application>
  <DocSecurity>0</DocSecurity>
  <Lines>143</Lines>
  <Paragraphs>40</Paragraphs>
  <ScaleCrop>false</ScaleCrop>
  <Company/>
  <LinksUpToDate>false</LinksUpToDate>
  <CharactersWithSpaces>20141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owen nancy</cp:lastModifiedBy>
  <cp:revision>33</cp:revision>
  <dcterms:created xsi:type="dcterms:W3CDTF">2020-06-03T02:42:00Z</dcterms:created>
  <dcterms:modified xsi:type="dcterms:W3CDTF">2020-10-29T15:13:00Z</dcterms:modified>
</cp:coreProperties>
</file>