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797" w:rsidRPr="008E1BE6" w:rsidRDefault="002D2797" w:rsidP="002D2797">
      <w:pPr>
        <w:spacing w:line="480" w:lineRule="auto"/>
        <w:jc w:val="left"/>
        <w:rPr>
          <w:rFonts w:ascii="Times New Roman" w:hAnsi="Times New Roman"/>
          <w:b/>
          <w:sz w:val="36"/>
          <w:szCs w:val="36"/>
        </w:rPr>
      </w:pPr>
      <w:bookmarkStart w:id="0" w:name="_GoBack"/>
      <w:r w:rsidRPr="008E1BE6">
        <w:rPr>
          <w:rFonts w:ascii="Times New Roman" w:hAnsi="Times New Roman"/>
          <w:b/>
          <w:sz w:val="36"/>
          <w:szCs w:val="36"/>
        </w:rPr>
        <w:t>Supplemental Information</w:t>
      </w:r>
    </w:p>
    <w:p w:rsidR="002D2797" w:rsidRPr="008E1BE6" w:rsidRDefault="002D2797" w:rsidP="002D2797">
      <w:pPr>
        <w:pStyle w:val="Default"/>
        <w:spacing w:line="480" w:lineRule="auto"/>
        <w:rPr>
          <w:rFonts w:ascii="Times New Roman" w:eastAsiaTheme="minorEastAsia" w:hAnsi="Times New Roman" w:cs="Times New Roman"/>
          <w:b/>
          <w:color w:val="auto"/>
        </w:rPr>
      </w:pPr>
      <w:r w:rsidRPr="008E1BE6">
        <w:rPr>
          <w:noProof/>
          <w:lang w:eastAsia="en-US"/>
        </w:rPr>
        <w:drawing>
          <wp:inline distT="0" distB="0" distL="0" distR="0" wp14:anchorId="5F7FFB36" wp14:editId="4BD51E0F">
            <wp:extent cx="5400040" cy="6810845"/>
            <wp:effectExtent l="19050" t="0" r="0" b="0"/>
            <wp:docPr id="27" name="図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stretch>
                      <a:fillRect/>
                    </a:stretch>
                  </pic:blipFill>
                  <pic:spPr>
                    <a:xfrm>
                      <a:off x="0" y="0"/>
                      <a:ext cx="5400040" cy="6810845"/>
                    </a:xfrm>
                    <a:prstGeom prst="rect">
                      <a:avLst/>
                    </a:prstGeom>
                  </pic:spPr>
                </pic:pic>
              </a:graphicData>
            </a:graphic>
          </wp:inline>
        </w:drawing>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sz w:val="24"/>
        </w:rPr>
        <w:t xml:space="preserve">Fig.S1 </w:t>
      </w:r>
      <w:r w:rsidRPr="008E1BE6">
        <w:rPr>
          <w:rFonts w:ascii="Times New Roman" w:hAnsi="Times New Roman"/>
          <w:sz w:val="24"/>
        </w:rPr>
        <w:t>Alternation of AMPAR and NMDAR function in HFD-feeding mice for 7 days (</w:t>
      </w:r>
      <w:r w:rsidRPr="008E1BE6">
        <w:rPr>
          <w:rFonts w:ascii="Times New Roman" w:hAnsi="Times New Roman" w:hint="eastAsia"/>
          <w:b/>
          <w:sz w:val="24"/>
        </w:rPr>
        <w:t>a</w:t>
      </w:r>
      <w:r w:rsidRPr="008E1BE6">
        <w:rPr>
          <w:rFonts w:ascii="Times New Roman" w:hAnsi="Times New Roman"/>
          <w:b/>
          <w:sz w:val="24"/>
        </w:rPr>
        <w:t xml:space="preserve">, </w:t>
      </w:r>
      <w:r w:rsidRPr="008E1BE6">
        <w:rPr>
          <w:rFonts w:ascii="Times New Roman" w:hAnsi="Times New Roman" w:hint="eastAsia"/>
          <w:b/>
          <w:sz w:val="24"/>
        </w:rPr>
        <w:t>b</w:t>
      </w:r>
      <w:r w:rsidRPr="008E1BE6">
        <w:rPr>
          <w:rFonts w:ascii="Times New Roman" w:hAnsi="Times New Roman"/>
          <w:b/>
          <w:sz w:val="24"/>
        </w:rPr>
        <w:t>,</w:t>
      </w:r>
      <w:r w:rsidRPr="008E1BE6">
        <w:rPr>
          <w:rFonts w:ascii="Times New Roman" w:hAnsi="Times New Roman" w:hint="eastAsia"/>
          <w:b/>
          <w:sz w:val="24"/>
        </w:rPr>
        <w:t xml:space="preserve"> c</w:t>
      </w:r>
      <w:r w:rsidRPr="008E1BE6">
        <w:rPr>
          <w:rFonts w:ascii="Times New Roman" w:hAnsi="Times New Roman"/>
          <w:sz w:val="24"/>
        </w:rPr>
        <w:t>); Suppressive effect of 1-naphthylacetyl spermine (Naspm), (Ca</w:t>
      </w:r>
      <w:r w:rsidRPr="008E1BE6">
        <w:rPr>
          <w:rFonts w:ascii="Times New Roman" w:hAnsi="Times New Roman"/>
          <w:sz w:val="24"/>
          <w:vertAlign w:val="superscript"/>
        </w:rPr>
        <w:t>2+</w:t>
      </w:r>
      <w:r w:rsidRPr="008E1BE6">
        <w:rPr>
          <w:rFonts w:ascii="Times New Roman" w:hAnsi="Times New Roman"/>
          <w:sz w:val="24"/>
        </w:rPr>
        <w:t xml:space="preserve">-permeable </w:t>
      </w:r>
      <w:r w:rsidRPr="008E1BE6">
        <w:rPr>
          <w:rFonts w:ascii="Times New Roman" w:hAnsi="Times New Roman"/>
          <w:sz w:val="24"/>
        </w:rPr>
        <w:lastRenderedPageBreak/>
        <w:t>AMPA receptor [CP-AMPAR] antagonist) and GYKI (selective non-competitive AMPAR antagonist) for CP-AMPA response in hippocampus (</w:t>
      </w:r>
      <w:r w:rsidRPr="008E1BE6">
        <w:rPr>
          <w:rFonts w:ascii="Times New Roman" w:hAnsi="Times New Roman" w:hint="eastAsia"/>
          <w:b/>
          <w:sz w:val="24"/>
        </w:rPr>
        <w:t>d</w:t>
      </w:r>
      <w:r w:rsidRPr="008E1BE6">
        <w:rPr>
          <w:rFonts w:ascii="Times New Roman" w:hAnsi="Times New Roman"/>
          <w:sz w:val="24"/>
        </w:rPr>
        <w:t>)</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hint="eastAsia"/>
          <w:b/>
          <w:sz w:val="24"/>
        </w:rPr>
        <w:t>a</w:t>
      </w:r>
      <w:r w:rsidRPr="008E1BE6">
        <w:rPr>
          <w:rFonts w:ascii="Times New Roman" w:hAnsi="Times New Roman"/>
          <w:sz w:val="24"/>
        </w:rPr>
        <w:t xml:space="preserve">, CP-AMPAR and NMDAR function of EC, CA1, CA2, CA3, and DG regions in HFD-feeding (from 16 weeks to 17 weeks) mice (17 weeks old). </w:t>
      </w:r>
      <w:r w:rsidRPr="008E1BE6">
        <w:rPr>
          <w:rFonts w:ascii="Times New Roman" w:hAnsi="Times New Roman" w:hint="eastAsia"/>
          <w:b/>
          <w:sz w:val="24"/>
        </w:rPr>
        <w:t>b</w:t>
      </w:r>
      <w:r w:rsidRPr="008E1BE6">
        <w:rPr>
          <w:rFonts w:ascii="Times New Roman" w:hAnsi="Times New Roman"/>
          <w:b/>
          <w:sz w:val="24"/>
        </w:rPr>
        <w:t>,</w:t>
      </w:r>
      <w:r w:rsidRPr="008E1BE6">
        <w:rPr>
          <w:rFonts w:ascii="Times New Roman" w:hAnsi="Times New Roman"/>
          <w:sz w:val="24"/>
        </w:rPr>
        <w:t xml:space="preserve"> CP-AMPAR and NMDAR function of EC, CA1, CA2, CA3, and DG regions in HFD plus PER-feeding (from 16 weeks to 17 weeks) mice (17 weeks old). </w:t>
      </w:r>
      <w:r w:rsidRPr="008E1BE6">
        <w:rPr>
          <w:rFonts w:ascii="Times New Roman" w:hAnsi="Times New Roman" w:hint="eastAsia"/>
          <w:b/>
          <w:sz w:val="24"/>
        </w:rPr>
        <w:t>c</w:t>
      </w:r>
      <w:r w:rsidRPr="008E1BE6">
        <w:rPr>
          <w:rFonts w:ascii="Times New Roman" w:hAnsi="Times New Roman"/>
          <w:b/>
          <w:sz w:val="24"/>
        </w:rPr>
        <w:t xml:space="preserve">, </w:t>
      </w:r>
      <w:r w:rsidRPr="008E1BE6">
        <w:rPr>
          <w:rFonts w:ascii="Times New Roman" w:hAnsi="Times New Roman"/>
          <w:sz w:val="24"/>
        </w:rPr>
        <w:t xml:space="preserve">Statistical comparison of CP-AMPAR and NMDAR function of EC, CA1, CA2, CA3, and DG regions among CD, HFD, and HFD plus PER-feeding mice for 7 days. </w:t>
      </w:r>
      <w:r w:rsidRPr="008E1BE6">
        <w:rPr>
          <w:rFonts w:ascii="Times New Roman" w:hAnsi="Times New Roman" w:hint="eastAsia"/>
          <w:b/>
          <w:sz w:val="24"/>
        </w:rPr>
        <w:t>d</w:t>
      </w:r>
      <w:r w:rsidRPr="008E1BE6">
        <w:rPr>
          <w:rFonts w:ascii="Times New Roman" w:hAnsi="Times New Roman"/>
          <w:sz w:val="24"/>
        </w:rPr>
        <w:t>, Suppressive effect of 1-naphthylacetyl spermine (Naspm) (selective antagonist of CP-AMPAR) and GYKI (selective non-competitive AMPAR antagonist) in acute brain slices of the hippocampus of HFD-feeding mice for 7 days. AMPA: 100 μM; CTZ: 100 μM; NMDA: 50 μM; glycine: 10 μM.</w:t>
      </w:r>
      <w:r w:rsidRPr="008E1BE6">
        <w:rPr>
          <w:rFonts w:asciiTheme="majorHAnsi" w:hAnsiTheme="majorHAnsi" w:cstheme="majorHAnsi"/>
          <w:sz w:val="24"/>
        </w:rPr>
        <w:t>*</w:t>
      </w:r>
      <w:r w:rsidRPr="008E1BE6">
        <w:rPr>
          <w:rFonts w:ascii="Times New Roman" w:hAnsi="Times New Roman"/>
          <w:sz w:val="24"/>
        </w:rPr>
        <w:t>:p&lt;0.05 (t-test).</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noProof/>
          <w:sz w:val="24"/>
          <w:lang w:eastAsia="en-US"/>
        </w:rPr>
        <w:lastRenderedPageBreak/>
        <w:drawing>
          <wp:inline distT="0" distB="0" distL="0" distR="0" wp14:anchorId="49EEFE50" wp14:editId="709F2D3C">
            <wp:extent cx="4928235" cy="4584065"/>
            <wp:effectExtent l="19050" t="0" r="5715" b="0"/>
            <wp:docPr id="12" name="図 1"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S2"/>
                    <pic:cNvPicPr>
                      <a:picLocks noChangeAspect="1" noChangeArrowheads="1"/>
                    </pic:cNvPicPr>
                  </pic:nvPicPr>
                  <pic:blipFill>
                    <a:blip r:embed="rId5" cstate="print"/>
                    <a:srcRect/>
                    <a:stretch>
                      <a:fillRect/>
                    </a:stretch>
                  </pic:blipFill>
                  <pic:spPr bwMode="auto">
                    <a:xfrm>
                      <a:off x="0" y="0"/>
                      <a:ext cx="4928235" cy="4584065"/>
                    </a:xfrm>
                    <a:prstGeom prst="rect">
                      <a:avLst/>
                    </a:prstGeom>
                    <a:noFill/>
                    <a:ln w="9525">
                      <a:noFill/>
                      <a:miter lim="800000"/>
                      <a:headEnd/>
                      <a:tailEnd/>
                    </a:ln>
                  </pic:spPr>
                </pic:pic>
              </a:graphicData>
            </a:graphic>
          </wp:inline>
        </w:drawing>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sz w:val="24"/>
        </w:rPr>
        <w:t xml:space="preserve">Fig. S2 </w:t>
      </w:r>
      <w:r w:rsidRPr="008E1BE6">
        <w:rPr>
          <w:rFonts w:ascii="Times New Roman" w:hAnsi="Times New Roman"/>
          <w:sz w:val="24"/>
        </w:rPr>
        <w:t>Behavioral analysis of open field test (</w:t>
      </w:r>
      <w:r w:rsidRPr="008E1BE6">
        <w:rPr>
          <w:rFonts w:ascii="Times New Roman" w:hAnsi="Times New Roman" w:hint="eastAsia"/>
          <w:b/>
          <w:sz w:val="24"/>
        </w:rPr>
        <w:t>a</w:t>
      </w:r>
      <w:r w:rsidRPr="008E1BE6">
        <w:rPr>
          <w:rFonts w:ascii="Times New Roman" w:hAnsi="Times New Roman"/>
          <w:b/>
          <w:sz w:val="24"/>
        </w:rPr>
        <w:t>–</w:t>
      </w:r>
      <w:r w:rsidRPr="008E1BE6">
        <w:rPr>
          <w:rFonts w:ascii="Times New Roman" w:hAnsi="Times New Roman" w:hint="eastAsia"/>
          <w:b/>
          <w:sz w:val="24"/>
        </w:rPr>
        <w:t>c</w:t>
      </w:r>
      <w:r w:rsidRPr="008E1BE6">
        <w:rPr>
          <w:rFonts w:ascii="Times New Roman" w:hAnsi="Times New Roman"/>
          <w:sz w:val="24"/>
        </w:rPr>
        <w:t>), elevated plus maze test (</w:t>
      </w:r>
      <w:r w:rsidRPr="008E1BE6">
        <w:rPr>
          <w:rFonts w:ascii="Times New Roman" w:hAnsi="Times New Roman" w:hint="eastAsia"/>
          <w:b/>
          <w:sz w:val="24"/>
        </w:rPr>
        <w:t>d</w:t>
      </w:r>
      <w:r w:rsidRPr="008E1BE6">
        <w:rPr>
          <w:rFonts w:ascii="Times New Roman" w:hAnsi="Times New Roman"/>
          <w:b/>
          <w:sz w:val="24"/>
        </w:rPr>
        <w:t xml:space="preserve">, </w:t>
      </w:r>
      <w:r w:rsidRPr="008E1BE6">
        <w:rPr>
          <w:rFonts w:ascii="Times New Roman" w:hAnsi="Times New Roman" w:hint="eastAsia"/>
          <w:b/>
          <w:sz w:val="24"/>
        </w:rPr>
        <w:t>e</w:t>
      </w:r>
      <w:r w:rsidRPr="008E1BE6">
        <w:rPr>
          <w:rFonts w:ascii="Times New Roman" w:hAnsi="Times New Roman"/>
          <w:sz w:val="24"/>
        </w:rPr>
        <w:t xml:space="preserve">), and contextual fear conditioning test </w:t>
      </w:r>
      <w:r w:rsidRPr="008E1BE6">
        <w:rPr>
          <w:rFonts w:ascii="Times New Roman" w:hAnsi="Times New Roman"/>
          <w:b/>
          <w:sz w:val="24"/>
        </w:rPr>
        <w:t>(</w:t>
      </w:r>
      <w:r w:rsidRPr="008E1BE6">
        <w:rPr>
          <w:rFonts w:ascii="Times New Roman" w:hAnsi="Times New Roman" w:hint="eastAsia"/>
          <w:b/>
          <w:sz w:val="24"/>
        </w:rPr>
        <w:t>f</w:t>
      </w:r>
      <w:r w:rsidRPr="008E1BE6">
        <w:rPr>
          <w:rFonts w:ascii="Times New Roman" w:hAnsi="Times New Roman"/>
          <w:sz w:val="24"/>
        </w:rPr>
        <w:t xml:space="preserve">).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t>Average value of the total moving time (</w:t>
      </w:r>
      <w:r w:rsidRPr="008E1BE6">
        <w:rPr>
          <w:rFonts w:ascii="Times New Roman" w:hAnsi="Times New Roman" w:hint="eastAsia"/>
          <w:b/>
          <w:sz w:val="24"/>
        </w:rPr>
        <w:t>a</w:t>
      </w:r>
      <w:r w:rsidRPr="008E1BE6">
        <w:rPr>
          <w:rFonts w:ascii="Times New Roman" w:hAnsi="Times New Roman"/>
          <w:sz w:val="24"/>
        </w:rPr>
        <w:t>), total distance (</w:t>
      </w:r>
      <w:r w:rsidRPr="008E1BE6">
        <w:rPr>
          <w:rFonts w:ascii="Times New Roman" w:hAnsi="Times New Roman" w:hint="eastAsia"/>
          <w:b/>
          <w:sz w:val="24"/>
        </w:rPr>
        <w:t>b</w:t>
      </w:r>
      <w:r w:rsidRPr="008E1BE6">
        <w:rPr>
          <w:rFonts w:ascii="Times New Roman" w:hAnsi="Times New Roman"/>
          <w:sz w:val="24"/>
        </w:rPr>
        <w:t>), time spent in the central area (</w:t>
      </w:r>
      <w:r w:rsidRPr="008E1BE6">
        <w:rPr>
          <w:rFonts w:ascii="Times New Roman" w:hAnsi="Times New Roman" w:hint="eastAsia"/>
          <w:b/>
          <w:sz w:val="24"/>
        </w:rPr>
        <w:t>c</w:t>
      </w:r>
      <w:r w:rsidRPr="008E1BE6">
        <w:rPr>
          <w:rFonts w:ascii="Times New Roman" w:hAnsi="Times New Roman"/>
          <w:sz w:val="24"/>
        </w:rPr>
        <w:t>), average value of time spent (</w:t>
      </w:r>
      <w:r w:rsidRPr="008E1BE6">
        <w:rPr>
          <w:rFonts w:ascii="Times New Roman" w:hAnsi="Times New Roman" w:hint="eastAsia"/>
          <w:b/>
          <w:sz w:val="24"/>
        </w:rPr>
        <w:t>d</w:t>
      </w:r>
      <w:r w:rsidRPr="008E1BE6">
        <w:rPr>
          <w:rFonts w:ascii="Times New Roman" w:hAnsi="Times New Roman"/>
          <w:sz w:val="24"/>
        </w:rPr>
        <w:t>), and entrance tome (</w:t>
      </w:r>
      <w:r w:rsidRPr="008E1BE6">
        <w:rPr>
          <w:rFonts w:ascii="Times New Roman" w:hAnsi="Times New Roman" w:hint="eastAsia"/>
          <w:b/>
          <w:sz w:val="24"/>
        </w:rPr>
        <w:t>e</w:t>
      </w:r>
      <w:r w:rsidRPr="008E1BE6">
        <w:rPr>
          <w:rFonts w:ascii="Times New Roman" w:hAnsi="Times New Roman"/>
          <w:sz w:val="24"/>
        </w:rPr>
        <w:t>) in the open or closed arm, and the average value of the freezing time (</w:t>
      </w:r>
      <w:r w:rsidRPr="008E1BE6">
        <w:rPr>
          <w:rFonts w:ascii="Times New Roman" w:hAnsi="Times New Roman" w:hint="eastAsia"/>
          <w:b/>
          <w:sz w:val="24"/>
        </w:rPr>
        <w:t>f</w:t>
      </w:r>
      <w:r w:rsidRPr="008E1BE6">
        <w:rPr>
          <w:rFonts w:ascii="Times New Roman" w:hAnsi="Times New Roman"/>
          <w:sz w:val="24"/>
        </w:rPr>
        <w:t>) fed by CD (n=11), HFD (n=12), and HFD with PER (n=12) . Mouse age: 12 weeks old, HFD or HFD with PER treatment: from 4 weeks to 12 weeks. Data are shown as mean ± SD.</w:t>
      </w:r>
      <w:r w:rsidRPr="008E1BE6">
        <w:rPr>
          <w:rFonts w:ascii="Times New Roman" w:hAnsi="Times New Roman"/>
          <w:sz w:val="24"/>
        </w:rPr>
        <w:t xml:space="preserve">　</w:t>
      </w:r>
      <w:r w:rsidRPr="008E1BE6">
        <w:rPr>
          <w:rFonts w:ascii="Times New Roman" w:hAnsi="Times New Roman"/>
          <w:sz w:val="24"/>
        </w:rPr>
        <w:t>The symbol overlapping the bar graph indicates the individual data.</w:t>
      </w: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b/>
          <w:noProof/>
          <w:sz w:val="24"/>
          <w:lang w:eastAsia="en-US"/>
        </w:rPr>
        <w:lastRenderedPageBreak/>
        <w:drawing>
          <wp:inline distT="0" distB="0" distL="0" distR="0" wp14:anchorId="25973F66" wp14:editId="3667F569">
            <wp:extent cx="5270713" cy="2171189"/>
            <wp:effectExtent l="0" t="0" r="0" b="0"/>
            <wp:docPr id="14"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S3.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24042" cy="2193157"/>
                    </a:xfrm>
                    <a:prstGeom prst="rect">
                      <a:avLst/>
                    </a:prstGeom>
                  </pic:spPr>
                </pic:pic>
              </a:graphicData>
            </a:graphic>
          </wp:inline>
        </w:drawing>
      </w:r>
    </w:p>
    <w:p w:rsidR="002D2797" w:rsidRPr="008E1BE6" w:rsidRDefault="002D2797" w:rsidP="002D2797">
      <w:pPr>
        <w:spacing w:line="480" w:lineRule="auto"/>
        <w:jc w:val="center"/>
        <w:rPr>
          <w:rFonts w:ascii="Times New Roman" w:hAnsi="Times New Roman"/>
          <w:b/>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sz w:val="24"/>
        </w:rPr>
        <w:t xml:space="preserve">Fig. S3 </w:t>
      </w:r>
      <w:r w:rsidRPr="008E1BE6">
        <w:rPr>
          <w:rFonts w:ascii="Times New Roman" w:hAnsi="Times New Roman"/>
          <w:sz w:val="24"/>
        </w:rPr>
        <w:t xml:space="preserve">Quantitative analysis of MAP2, GluA1, and GluA2 expression of CD, HFD, and HFD with PER mice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t xml:space="preserve">Mouse age: 17 weeks old; HFD or HFD with PER 1 week treatment: from 16 weeks to 17 weeks; HFD or HFD with PER 10 week treatment: from 6 weeks to 17 weeks. Bar: 100 μm.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noProof/>
          <w:sz w:val="24"/>
          <w:lang w:eastAsia="en-US"/>
        </w:rPr>
        <w:lastRenderedPageBreak/>
        <w:drawing>
          <wp:inline distT="0" distB="0" distL="0" distR="0" wp14:anchorId="4D3E9051" wp14:editId="74333EBA">
            <wp:extent cx="5400040" cy="3228347"/>
            <wp:effectExtent l="19050" t="0" r="0" b="0"/>
            <wp:docPr id="16" name="図 4"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S4"/>
                    <pic:cNvPicPr>
                      <a:picLocks noChangeAspect="1" noChangeArrowheads="1"/>
                    </pic:cNvPicPr>
                  </pic:nvPicPr>
                  <pic:blipFill>
                    <a:blip r:embed="rId7" cstate="print"/>
                    <a:srcRect/>
                    <a:stretch>
                      <a:fillRect/>
                    </a:stretch>
                  </pic:blipFill>
                  <pic:spPr bwMode="auto">
                    <a:xfrm>
                      <a:off x="0" y="0"/>
                      <a:ext cx="5400040" cy="3228347"/>
                    </a:xfrm>
                    <a:prstGeom prst="rect">
                      <a:avLst/>
                    </a:prstGeom>
                    <a:noFill/>
                    <a:ln w="9525">
                      <a:noFill/>
                      <a:miter lim="800000"/>
                      <a:headEnd/>
                      <a:tailEnd/>
                    </a:ln>
                  </pic:spPr>
                </pic:pic>
              </a:graphicData>
            </a:graphic>
          </wp:inline>
        </w:drawing>
      </w:r>
    </w:p>
    <w:p w:rsidR="002D2797" w:rsidRPr="008E1BE6" w:rsidRDefault="002D2797" w:rsidP="002D2797">
      <w:pPr>
        <w:widowControl/>
        <w:spacing w:line="480" w:lineRule="auto"/>
        <w:jc w:val="left"/>
        <w:rPr>
          <w:rFonts w:ascii="Times New Roman" w:hAnsi="Times New Roman"/>
          <w:b/>
          <w:sz w:val="24"/>
        </w:rPr>
      </w:pPr>
      <w:r w:rsidRPr="008E1BE6">
        <w:rPr>
          <w:rFonts w:ascii="Times New Roman" w:hAnsi="Times New Roman"/>
          <w:b/>
          <w:sz w:val="24"/>
        </w:rPr>
        <w:t xml:space="preserve">Fig. S4 GluA2 (R/Q) editing level, in CD, HFD, HFD with PER 1-week or 10-week treatment mouse.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t>Editing level was calculated as the ratio of the total number of reads aligned to GluA2 R/Q editing site. Mouse (BL/6J) age: 17 weeks old; CD: without HFD or HFD with PER treatment, HFD or HFD with PER 1 week treatment from 16 weeks to 17 weeks; HFD or HFD with PER 10 week treatment: from 6 weeks to 17 weeks.</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noProof/>
          <w:sz w:val="24"/>
          <w:lang w:eastAsia="en-US"/>
        </w:rPr>
        <w:lastRenderedPageBreak/>
        <w:drawing>
          <wp:inline distT="0" distB="0" distL="0" distR="0" wp14:anchorId="6CFA5476" wp14:editId="5A872C79">
            <wp:extent cx="5189220" cy="3016250"/>
            <wp:effectExtent l="19050" t="0" r="0" b="0"/>
            <wp:docPr id="18" name="図 7"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S5"/>
                    <pic:cNvPicPr>
                      <a:picLocks noChangeAspect="1" noChangeArrowheads="1"/>
                    </pic:cNvPicPr>
                  </pic:nvPicPr>
                  <pic:blipFill>
                    <a:blip r:embed="rId8" cstate="print"/>
                    <a:srcRect/>
                    <a:stretch>
                      <a:fillRect/>
                    </a:stretch>
                  </pic:blipFill>
                  <pic:spPr bwMode="auto">
                    <a:xfrm>
                      <a:off x="0" y="0"/>
                      <a:ext cx="5189220" cy="3016250"/>
                    </a:xfrm>
                    <a:prstGeom prst="rect">
                      <a:avLst/>
                    </a:prstGeom>
                    <a:noFill/>
                    <a:ln w="9525">
                      <a:noFill/>
                      <a:miter lim="800000"/>
                      <a:headEnd/>
                      <a:tailEnd/>
                    </a:ln>
                  </pic:spPr>
                </pic:pic>
              </a:graphicData>
            </a:graphic>
          </wp:inline>
        </w:drawing>
      </w: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sz w:val="24"/>
        </w:rPr>
        <w:t xml:space="preserve">Fig. S5  </w:t>
      </w:r>
      <w:r w:rsidRPr="008E1BE6">
        <w:rPr>
          <w:rFonts w:ascii="Times New Roman" w:hAnsi="Times New Roman"/>
          <w:sz w:val="24"/>
        </w:rPr>
        <w:t xml:space="preserve">Relationship between human GM volume of the whole brain, body weight, BMI and age. </w:t>
      </w: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hint="eastAsia"/>
          <w:b/>
          <w:sz w:val="24"/>
        </w:rPr>
        <w:t>a</w:t>
      </w:r>
      <w:r w:rsidRPr="008E1BE6">
        <w:rPr>
          <w:rFonts w:ascii="Times New Roman" w:hAnsi="Times New Roman"/>
          <w:b/>
          <w:sz w:val="24"/>
        </w:rPr>
        <w:t>,</w:t>
      </w:r>
      <w:r w:rsidRPr="008E1BE6">
        <w:rPr>
          <w:rFonts w:ascii="Times New Roman" w:hAnsi="Times New Roman" w:hint="eastAsia"/>
          <w:b/>
          <w:sz w:val="24"/>
        </w:rPr>
        <w:t>b</w:t>
      </w:r>
      <w:r w:rsidRPr="008E1BE6">
        <w:rPr>
          <w:rFonts w:ascii="Times New Roman" w:hAnsi="Times New Roman"/>
          <w:b/>
          <w:sz w:val="24"/>
        </w:rPr>
        <w:t xml:space="preserve">, </w:t>
      </w:r>
      <w:r w:rsidRPr="008E1BE6">
        <w:rPr>
          <w:rFonts w:ascii="Times New Roman" w:hAnsi="Times New Roman"/>
          <w:sz w:val="24"/>
        </w:rPr>
        <w:t>Representative T1-weighted coronal images of normal weight (</w:t>
      </w:r>
      <w:r w:rsidRPr="008E1BE6">
        <w:rPr>
          <w:rFonts w:ascii="Times New Roman" w:hAnsi="Times New Roman" w:hint="eastAsia"/>
          <w:b/>
          <w:sz w:val="24"/>
        </w:rPr>
        <w:t>a</w:t>
      </w:r>
      <w:r w:rsidRPr="008E1BE6">
        <w:rPr>
          <w:rFonts w:ascii="Times New Roman" w:hAnsi="Times New Roman"/>
          <w:sz w:val="24"/>
        </w:rPr>
        <w:t>) and obese (</w:t>
      </w:r>
      <w:r w:rsidRPr="008E1BE6">
        <w:rPr>
          <w:rFonts w:ascii="Times New Roman" w:hAnsi="Times New Roman" w:hint="eastAsia"/>
          <w:b/>
          <w:sz w:val="24"/>
        </w:rPr>
        <w:t>b</w:t>
      </w:r>
      <w:r w:rsidRPr="008E1BE6">
        <w:rPr>
          <w:rFonts w:ascii="Times New Roman" w:hAnsi="Times New Roman"/>
          <w:sz w:val="24"/>
        </w:rPr>
        <w:t xml:space="preserve">) groups. Note that the normal weight MRI image shows that the parietal and temporal lobes are bulging outwards; however, in obesity, they are dented without protrusion. </w:t>
      </w:r>
      <w:r w:rsidRPr="008E1BE6">
        <w:rPr>
          <w:rFonts w:ascii="Times New Roman" w:hAnsi="Times New Roman" w:hint="eastAsia"/>
          <w:b/>
          <w:sz w:val="24"/>
        </w:rPr>
        <w:t>c</w:t>
      </w:r>
      <w:r w:rsidRPr="008E1BE6">
        <w:rPr>
          <w:rFonts w:ascii="Times New Roman" w:hAnsi="Times New Roman"/>
          <w:b/>
          <w:sz w:val="24"/>
        </w:rPr>
        <w:t>-</w:t>
      </w:r>
      <w:r w:rsidRPr="008E1BE6">
        <w:rPr>
          <w:rFonts w:ascii="Times New Roman" w:hAnsi="Times New Roman" w:hint="eastAsia"/>
          <w:b/>
          <w:sz w:val="24"/>
        </w:rPr>
        <w:t>f</w:t>
      </w:r>
      <w:r w:rsidRPr="008E1BE6">
        <w:rPr>
          <w:rFonts w:ascii="Times New Roman" w:hAnsi="Times New Roman"/>
          <w:sz w:val="24"/>
        </w:rPr>
        <w:t>,</w:t>
      </w:r>
      <w:r w:rsidRPr="008E1BE6">
        <w:rPr>
          <w:rFonts w:ascii="Times New Roman" w:hAnsi="Times New Roman"/>
          <w:b/>
          <w:sz w:val="24"/>
        </w:rPr>
        <w:t xml:space="preserve"> </w:t>
      </w:r>
      <w:r w:rsidRPr="008E1BE6">
        <w:rPr>
          <w:rFonts w:ascii="Times New Roman" w:hAnsi="Times New Roman"/>
          <w:sz w:val="24"/>
        </w:rPr>
        <w:t>Plot graphs show results of the partial correlation analysis between the gray matter volume of the whole brain (GM) and age (</w:t>
      </w:r>
      <w:r w:rsidRPr="008E1BE6">
        <w:rPr>
          <w:rFonts w:ascii="Times New Roman" w:hAnsi="Times New Roman" w:hint="eastAsia"/>
          <w:b/>
          <w:sz w:val="24"/>
        </w:rPr>
        <w:t>c</w:t>
      </w:r>
      <w:r w:rsidRPr="008E1BE6">
        <w:rPr>
          <w:rFonts w:ascii="Times New Roman" w:hAnsi="Times New Roman"/>
          <w:sz w:val="24"/>
        </w:rPr>
        <w:t>) or body weight (</w:t>
      </w:r>
      <w:r w:rsidRPr="008E1BE6">
        <w:rPr>
          <w:rFonts w:ascii="Times New Roman" w:hAnsi="Times New Roman" w:hint="eastAsia"/>
          <w:b/>
          <w:sz w:val="24"/>
        </w:rPr>
        <w:t>e</w:t>
      </w:r>
      <w:r w:rsidRPr="008E1BE6">
        <w:rPr>
          <w:rFonts w:ascii="Times New Roman" w:hAnsi="Times New Roman"/>
          <w:sz w:val="24"/>
        </w:rPr>
        <w:t>) and between the BMI and age (</w:t>
      </w:r>
      <w:r w:rsidRPr="008E1BE6">
        <w:rPr>
          <w:rFonts w:ascii="Times New Roman" w:hAnsi="Times New Roman" w:hint="eastAsia"/>
          <w:b/>
          <w:sz w:val="24"/>
        </w:rPr>
        <w:t>d</w:t>
      </w:r>
      <w:r w:rsidRPr="008E1BE6">
        <w:rPr>
          <w:rFonts w:ascii="Times New Roman" w:hAnsi="Times New Roman"/>
          <w:sz w:val="24"/>
        </w:rPr>
        <w:t>) or body weight (</w:t>
      </w:r>
      <w:r w:rsidRPr="008E1BE6">
        <w:rPr>
          <w:rFonts w:ascii="Times New Roman" w:hAnsi="Times New Roman" w:hint="eastAsia"/>
          <w:b/>
          <w:sz w:val="24"/>
        </w:rPr>
        <w:t>f</w:t>
      </w:r>
      <w:r w:rsidRPr="008E1BE6">
        <w:rPr>
          <w:rFonts w:ascii="Times New Roman" w:hAnsi="Times New Roman"/>
          <w:sz w:val="24"/>
        </w:rPr>
        <w:t>).</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noProof/>
          <w:sz w:val="24"/>
          <w:lang w:eastAsia="en-US"/>
        </w:rPr>
        <w:lastRenderedPageBreak/>
        <w:drawing>
          <wp:inline distT="0" distB="0" distL="0" distR="0" wp14:anchorId="0EC216AB" wp14:editId="46EC6980">
            <wp:extent cx="5400040" cy="2186204"/>
            <wp:effectExtent l="19050" t="0" r="0" b="0"/>
            <wp:docPr id="22" name="図 10"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S6"/>
                    <pic:cNvPicPr>
                      <a:picLocks noChangeAspect="1" noChangeArrowheads="1"/>
                    </pic:cNvPicPr>
                  </pic:nvPicPr>
                  <pic:blipFill>
                    <a:blip r:embed="rId9" cstate="print"/>
                    <a:srcRect/>
                    <a:stretch>
                      <a:fillRect/>
                    </a:stretch>
                  </pic:blipFill>
                  <pic:spPr bwMode="auto">
                    <a:xfrm>
                      <a:off x="0" y="0"/>
                      <a:ext cx="5400040" cy="2186204"/>
                    </a:xfrm>
                    <a:prstGeom prst="rect">
                      <a:avLst/>
                    </a:prstGeom>
                    <a:noFill/>
                    <a:ln w="9525">
                      <a:noFill/>
                      <a:miter lim="800000"/>
                      <a:headEnd/>
                      <a:tailEnd/>
                    </a:ln>
                  </pic:spPr>
                </pic:pic>
              </a:graphicData>
            </a:graphic>
          </wp:inline>
        </w:drawing>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b/>
          <w:sz w:val="24"/>
        </w:rPr>
        <w:t xml:space="preserve">Fig. S6 </w:t>
      </w:r>
      <w:r w:rsidRPr="008E1BE6">
        <w:rPr>
          <w:rFonts w:ascii="Times New Roman" w:hAnsi="Times New Roman"/>
          <w:sz w:val="24"/>
        </w:rPr>
        <w:t>Relationship between BMI and percentage of correct responses in the new and the lure task</w:t>
      </w:r>
      <w:r w:rsidRPr="008E1BE6">
        <w:rPr>
          <w:rFonts w:ascii="Times New Roman" w:hAnsi="Times New Roman"/>
          <w:b/>
          <w:sz w:val="24"/>
        </w:rPr>
        <w:t xml:space="preserve">. </w:t>
      </w: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hint="eastAsia"/>
          <w:b/>
          <w:sz w:val="24"/>
        </w:rPr>
        <w:t>a</w:t>
      </w:r>
      <w:r w:rsidRPr="008E1BE6">
        <w:rPr>
          <w:rFonts w:ascii="Times New Roman" w:hAnsi="Times New Roman"/>
          <w:b/>
          <w:sz w:val="24"/>
        </w:rPr>
        <w:t>-</w:t>
      </w:r>
      <w:r w:rsidRPr="008E1BE6">
        <w:rPr>
          <w:rFonts w:ascii="Times New Roman" w:hAnsi="Times New Roman" w:hint="eastAsia"/>
          <w:b/>
          <w:sz w:val="24"/>
        </w:rPr>
        <w:t>b</w:t>
      </w:r>
      <w:r w:rsidRPr="008E1BE6">
        <w:rPr>
          <w:rFonts w:ascii="Times New Roman" w:hAnsi="Times New Roman"/>
          <w:b/>
          <w:sz w:val="24"/>
        </w:rPr>
        <w:t xml:space="preserve">, </w:t>
      </w:r>
      <w:r w:rsidRPr="008E1BE6">
        <w:rPr>
          <w:rFonts w:ascii="Times New Roman" w:hAnsi="Times New Roman"/>
          <w:sz w:val="24"/>
        </w:rPr>
        <w:t>Plot graphs showing the results of the partial correlation analysis between BMI and percentage of correct responses in the new task (</w:t>
      </w:r>
      <w:r w:rsidRPr="008E1BE6">
        <w:rPr>
          <w:rFonts w:ascii="Times New Roman" w:hAnsi="Times New Roman" w:hint="eastAsia"/>
          <w:b/>
          <w:sz w:val="24"/>
        </w:rPr>
        <w:t>a</w:t>
      </w:r>
      <w:r w:rsidRPr="008E1BE6">
        <w:rPr>
          <w:rFonts w:ascii="Times New Roman" w:hAnsi="Times New Roman"/>
          <w:sz w:val="24"/>
        </w:rPr>
        <w:t>) and lure task (</w:t>
      </w:r>
      <w:r w:rsidRPr="008E1BE6">
        <w:rPr>
          <w:rFonts w:ascii="Times New Roman" w:hAnsi="Times New Roman" w:hint="eastAsia"/>
          <w:b/>
          <w:sz w:val="24"/>
        </w:rPr>
        <w:t>b</w:t>
      </w:r>
      <w:r w:rsidRPr="008E1BE6">
        <w:rPr>
          <w:rFonts w:ascii="Times New Roman" w:hAnsi="Times New Roman"/>
          <w:sz w:val="24"/>
        </w:rPr>
        <w:t>). There was no significant negative correlation between BMI and percentage of correct responses in the new task (r = -0.05, p = 0.58) or the lure task (r = -0.07, p = 0.43).</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noProof/>
          <w:sz w:val="24"/>
          <w:lang w:eastAsia="en-US"/>
        </w:rPr>
        <w:lastRenderedPageBreak/>
        <w:drawing>
          <wp:inline distT="0" distB="0" distL="0" distR="0" wp14:anchorId="769822FF" wp14:editId="45838620">
            <wp:extent cx="5142230" cy="5771515"/>
            <wp:effectExtent l="19050" t="0" r="1270" b="0"/>
            <wp:docPr id="23" name="図 13" descr="Fi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gS7"/>
                    <pic:cNvPicPr>
                      <a:picLocks noChangeAspect="1" noChangeArrowheads="1"/>
                    </pic:cNvPicPr>
                  </pic:nvPicPr>
                  <pic:blipFill>
                    <a:blip r:embed="rId10" cstate="print"/>
                    <a:srcRect/>
                    <a:stretch>
                      <a:fillRect/>
                    </a:stretch>
                  </pic:blipFill>
                  <pic:spPr bwMode="auto">
                    <a:xfrm>
                      <a:off x="0" y="0"/>
                      <a:ext cx="5142230" cy="5771515"/>
                    </a:xfrm>
                    <a:prstGeom prst="rect">
                      <a:avLst/>
                    </a:prstGeom>
                    <a:noFill/>
                    <a:ln w="9525">
                      <a:noFill/>
                      <a:miter lim="800000"/>
                      <a:headEnd/>
                      <a:tailEnd/>
                    </a:ln>
                  </pic:spPr>
                </pic:pic>
              </a:graphicData>
            </a:graphic>
          </wp:inline>
        </w:drawing>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sz w:val="24"/>
        </w:rPr>
        <w:t xml:space="preserve">Fig. S7 </w:t>
      </w:r>
      <w:r w:rsidRPr="008E1BE6">
        <w:rPr>
          <w:rFonts w:ascii="Times New Roman" w:hAnsi="Times New Roman"/>
          <w:sz w:val="24"/>
        </w:rPr>
        <w:t xml:space="preserve">Decrease of human hippocampus subregions by MRI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hint="eastAsia"/>
          <w:b/>
          <w:sz w:val="24"/>
        </w:rPr>
        <w:t>a</w:t>
      </w:r>
      <w:r w:rsidRPr="008E1BE6">
        <w:rPr>
          <w:rFonts w:ascii="Times New Roman" w:hAnsi="Times New Roman"/>
          <w:b/>
          <w:sz w:val="24"/>
        </w:rPr>
        <w:t>-</w:t>
      </w:r>
      <w:r w:rsidRPr="008E1BE6">
        <w:rPr>
          <w:rFonts w:ascii="Times New Roman" w:hAnsi="Times New Roman" w:hint="eastAsia"/>
          <w:b/>
          <w:sz w:val="24"/>
        </w:rPr>
        <w:t>c</w:t>
      </w:r>
      <w:r w:rsidRPr="008E1BE6">
        <w:rPr>
          <w:rFonts w:ascii="Times New Roman" w:hAnsi="Times New Roman"/>
          <w:sz w:val="24"/>
        </w:rPr>
        <w:t>, The averaged and individual volume data of the CA1 (</w:t>
      </w:r>
      <w:r w:rsidRPr="008E1BE6">
        <w:rPr>
          <w:rFonts w:ascii="Times New Roman" w:hAnsi="Times New Roman" w:hint="eastAsia"/>
          <w:b/>
          <w:sz w:val="24"/>
        </w:rPr>
        <w:t>a</w:t>
      </w:r>
      <w:r w:rsidRPr="008E1BE6">
        <w:rPr>
          <w:rFonts w:ascii="Times New Roman" w:hAnsi="Times New Roman"/>
          <w:sz w:val="24"/>
        </w:rPr>
        <w:t>), CA3 (</w:t>
      </w:r>
      <w:r w:rsidRPr="008E1BE6">
        <w:rPr>
          <w:rFonts w:ascii="Times New Roman" w:hAnsi="Times New Roman" w:hint="eastAsia"/>
          <w:b/>
          <w:sz w:val="24"/>
        </w:rPr>
        <w:t>b</w:t>
      </w:r>
      <w:r w:rsidRPr="008E1BE6">
        <w:rPr>
          <w:rFonts w:ascii="Times New Roman" w:hAnsi="Times New Roman"/>
          <w:sz w:val="24"/>
        </w:rPr>
        <w:t>), and DG (</w:t>
      </w:r>
      <w:r w:rsidRPr="008E1BE6">
        <w:rPr>
          <w:rFonts w:ascii="Times New Roman" w:hAnsi="Times New Roman" w:hint="eastAsia"/>
          <w:b/>
          <w:sz w:val="24"/>
        </w:rPr>
        <w:t>c</w:t>
      </w:r>
      <w:r w:rsidRPr="008E1BE6">
        <w:rPr>
          <w:rFonts w:ascii="Times New Roman" w:hAnsi="Times New Roman"/>
          <w:sz w:val="24"/>
        </w:rPr>
        <w:t xml:space="preserve">) of the normal weight, overweight, and obese groups. The circle indicates the individual data. </w:t>
      </w:r>
      <w:r w:rsidRPr="008E1BE6">
        <w:rPr>
          <w:rFonts w:asciiTheme="majorHAnsi" w:hAnsiTheme="majorHAnsi" w:cstheme="majorHAnsi"/>
          <w:sz w:val="24"/>
        </w:rPr>
        <w:t>*</w:t>
      </w:r>
      <w:r w:rsidRPr="008E1BE6">
        <w:rPr>
          <w:rFonts w:ascii="Times New Roman" w:hAnsi="Times New Roman"/>
          <w:sz w:val="24"/>
        </w:rPr>
        <w:t xml:space="preserve"> : p&lt;0.05.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t> </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b/>
          <w:noProof/>
          <w:sz w:val="24"/>
          <w:lang w:eastAsia="en-US"/>
        </w:rPr>
        <w:lastRenderedPageBreak/>
        <w:drawing>
          <wp:inline distT="0" distB="0" distL="0" distR="0" wp14:anchorId="61BD4C45" wp14:editId="3623DA52">
            <wp:extent cx="5391150" cy="3907155"/>
            <wp:effectExtent l="19050" t="0" r="0" b="0"/>
            <wp:docPr id="24" name="図 16" descr="Fig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gS8"/>
                    <pic:cNvPicPr>
                      <a:picLocks noChangeAspect="1" noChangeArrowheads="1"/>
                    </pic:cNvPicPr>
                  </pic:nvPicPr>
                  <pic:blipFill>
                    <a:blip r:embed="rId11" cstate="print"/>
                    <a:srcRect/>
                    <a:stretch>
                      <a:fillRect/>
                    </a:stretch>
                  </pic:blipFill>
                  <pic:spPr bwMode="auto">
                    <a:xfrm>
                      <a:off x="0" y="0"/>
                      <a:ext cx="5391150" cy="3907155"/>
                    </a:xfrm>
                    <a:prstGeom prst="rect">
                      <a:avLst/>
                    </a:prstGeom>
                    <a:noFill/>
                    <a:ln w="9525">
                      <a:noFill/>
                      <a:miter lim="800000"/>
                      <a:headEnd/>
                      <a:tailEnd/>
                    </a:ln>
                  </pic:spPr>
                </pic:pic>
              </a:graphicData>
            </a:graphic>
          </wp:inline>
        </w:drawing>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b/>
          <w:sz w:val="24"/>
        </w:rPr>
        <w:t xml:space="preserve">Fig. S8 </w:t>
      </w:r>
      <w:r w:rsidRPr="008E1BE6">
        <w:rPr>
          <w:rFonts w:ascii="Times New Roman" w:hAnsi="Times New Roman"/>
          <w:sz w:val="24"/>
        </w:rPr>
        <w:t>Quantification of Thy1-YFPH</w:t>
      </w:r>
      <w:r w:rsidRPr="008E1BE6">
        <w:rPr>
          <w:rFonts w:ascii="Times New Roman" w:hAnsi="Times New Roman"/>
          <w:sz w:val="24"/>
          <w:vertAlign w:val="superscript"/>
        </w:rPr>
        <w:t>+</w:t>
      </w:r>
      <w:r w:rsidRPr="008E1BE6">
        <w:rPr>
          <w:rFonts w:ascii="Times New Roman" w:hAnsi="Times New Roman"/>
          <w:sz w:val="24"/>
        </w:rPr>
        <w:t xml:space="preserve">-cell in hippocampal subregion; CA1. </w:t>
      </w:r>
      <w:r w:rsidRPr="008E1BE6">
        <w:rPr>
          <w:rFonts w:ascii="Times New Roman" w:hAnsi="Times New Roman" w:hint="eastAsia"/>
          <w:b/>
          <w:sz w:val="24"/>
        </w:rPr>
        <w:t>a</w:t>
      </w:r>
      <w:r w:rsidRPr="008E1BE6">
        <w:rPr>
          <w:rFonts w:ascii="Times New Roman" w:hAnsi="Times New Roman"/>
          <w:b/>
          <w:sz w:val="24"/>
        </w:rPr>
        <w:t>,</w:t>
      </w:r>
      <w:r w:rsidRPr="008E1BE6">
        <w:rPr>
          <w:rFonts w:ascii="Times New Roman" w:hAnsi="Times New Roman" w:hint="eastAsia"/>
          <w:b/>
          <w:sz w:val="24"/>
        </w:rPr>
        <w:t xml:space="preserve"> </w:t>
      </w:r>
      <w:r w:rsidRPr="008E1BE6">
        <w:rPr>
          <w:rFonts w:ascii="Times New Roman" w:hAnsi="Times New Roman"/>
          <w:sz w:val="24"/>
        </w:rPr>
        <w:t>An image of the whole hippocampus of a CD-fed mouse, 17 weeks old (x10 water immersion objective lens) (Voxel size is X-axis, 4.013 μm</w:t>
      </w:r>
      <w:r w:rsidRPr="008E1BE6">
        <w:rPr>
          <w:rFonts w:ascii="Times New Roman" w:hAnsi="Times New Roman"/>
          <w:sz w:val="24"/>
        </w:rPr>
        <w:t>；</w:t>
      </w:r>
      <w:r w:rsidRPr="008E1BE6">
        <w:rPr>
          <w:rFonts w:ascii="Times New Roman" w:hAnsi="Times New Roman"/>
          <w:sz w:val="24"/>
        </w:rPr>
        <w:t>Y-axis, 4.013μm</w:t>
      </w:r>
      <w:r w:rsidRPr="008E1BE6">
        <w:rPr>
          <w:rFonts w:ascii="Times New Roman" w:hAnsi="Times New Roman"/>
          <w:sz w:val="24"/>
        </w:rPr>
        <w:t>；</w:t>
      </w:r>
      <w:r w:rsidRPr="008E1BE6">
        <w:rPr>
          <w:rFonts w:ascii="Times New Roman" w:hAnsi="Times New Roman"/>
          <w:sz w:val="24"/>
        </w:rPr>
        <w:t>Z-axis, 5.016μm)</w:t>
      </w:r>
      <w:r w:rsidRPr="008E1BE6">
        <w:rPr>
          <w:rFonts w:ascii="Times New Roman" w:hAnsi="Times New Roman" w:hint="eastAsia"/>
          <w:sz w:val="24"/>
        </w:rPr>
        <w:t xml:space="preserve"> </w:t>
      </w:r>
      <w:r w:rsidRPr="008E1BE6">
        <w:rPr>
          <w:rFonts w:ascii="Times New Roman" w:hAnsi="Times New Roman"/>
          <w:sz w:val="24"/>
        </w:rPr>
        <w:t xml:space="preserve">(Methods, Supplementary Movie S4). Red box indicates cut region. Bar: 400μm. </w:t>
      </w:r>
      <w:r w:rsidRPr="008E1BE6">
        <w:rPr>
          <w:rFonts w:ascii="Times New Roman" w:hAnsi="Times New Roman" w:hint="eastAsia"/>
          <w:b/>
          <w:sz w:val="24"/>
        </w:rPr>
        <w:t>b</w:t>
      </w:r>
      <w:r w:rsidRPr="008E1BE6">
        <w:rPr>
          <w:rFonts w:ascii="Times New Roman" w:hAnsi="Times New Roman"/>
          <w:b/>
          <w:sz w:val="24"/>
        </w:rPr>
        <w:t>,</w:t>
      </w:r>
      <w:r w:rsidRPr="008E1BE6">
        <w:rPr>
          <w:rFonts w:ascii="Times New Roman" w:hAnsi="Times New Roman" w:hint="eastAsia"/>
          <w:b/>
          <w:sz w:val="24"/>
        </w:rPr>
        <w:t xml:space="preserve"> </w:t>
      </w:r>
      <w:r w:rsidRPr="008E1BE6">
        <w:rPr>
          <w:rFonts w:ascii="Times New Roman" w:hAnsi="Times New Roman"/>
          <w:sz w:val="24"/>
        </w:rPr>
        <w:t xml:space="preserve">Panel view of a subset selected cells. </w:t>
      </w:r>
      <w:r w:rsidRPr="008E1BE6">
        <w:rPr>
          <w:rFonts w:ascii="Times New Roman" w:hAnsi="Times New Roman" w:hint="eastAsia"/>
          <w:b/>
          <w:sz w:val="24"/>
        </w:rPr>
        <w:t>c</w:t>
      </w:r>
      <w:r w:rsidRPr="008E1BE6">
        <w:rPr>
          <w:rFonts w:ascii="Times New Roman" w:hAnsi="Times New Roman"/>
          <w:b/>
          <w:sz w:val="24"/>
        </w:rPr>
        <w:t xml:space="preserve">, </w:t>
      </w:r>
      <w:r w:rsidRPr="008E1BE6">
        <w:rPr>
          <w:rFonts w:ascii="Times New Roman" w:hAnsi="Times New Roman"/>
          <w:sz w:val="24"/>
        </w:rPr>
        <w:t xml:space="preserve">3D reconstruction of the cut region </w:t>
      </w:r>
      <w:r w:rsidRPr="008E1BE6">
        <w:rPr>
          <w:rFonts w:ascii="Times New Roman" w:hAnsi="Times New Roman" w:hint="eastAsia"/>
          <w:b/>
          <w:sz w:val="24"/>
        </w:rPr>
        <w:t>d</w:t>
      </w:r>
      <w:r w:rsidRPr="008E1BE6">
        <w:rPr>
          <w:rFonts w:ascii="Times New Roman" w:hAnsi="Times New Roman"/>
          <w:b/>
          <w:sz w:val="24"/>
        </w:rPr>
        <w:t>,</w:t>
      </w:r>
      <w:r w:rsidRPr="008E1BE6">
        <w:rPr>
          <w:rFonts w:ascii="Times New Roman" w:hAnsi="Times New Roman" w:hint="eastAsia"/>
          <w:b/>
          <w:sz w:val="24"/>
        </w:rPr>
        <w:t xml:space="preserve"> </w:t>
      </w:r>
      <w:r w:rsidRPr="008E1BE6">
        <w:rPr>
          <w:rFonts w:ascii="Times New Roman" w:hAnsi="Times New Roman"/>
          <w:sz w:val="24"/>
        </w:rPr>
        <w:t>Bob filter rending image (average size, 20 μm; threshold, 5μm).</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b/>
          <w:sz w:val="24"/>
        </w:rPr>
      </w:pPr>
      <w:r w:rsidRPr="008E1BE6">
        <w:rPr>
          <w:noProof/>
          <w:lang w:eastAsia="en-US"/>
        </w:rPr>
        <w:lastRenderedPageBreak/>
        <w:drawing>
          <wp:inline distT="0" distB="0" distL="0" distR="0" wp14:anchorId="187B3ACE" wp14:editId="4A8BC175">
            <wp:extent cx="4837957" cy="6816436"/>
            <wp:effectExtent l="19050" t="0" r="743" b="0"/>
            <wp:docPr id="28" name="図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4841491" cy="6821416"/>
                    </a:xfrm>
                    <a:prstGeom prst="rect">
                      <a:avLst/>
                    </a:prstGeom>
                  </pic:spPr>
                </pic:pic>
              </a:graphicData>
            </a:graphic>
          </wp:inline>
        </w:drawing>
      </w:r>
    </w:p>
    <w:p w:rsidR="002D2797" w:rsidRPr="008E1BE6" w:rsidRDefault="002D2797" w:rsidP="002D2797">
      <w:pPr>
        <w:spacing w:line="480" w:lineRule="auto"/>
        <w:jc w:val="left"/>
        <w:rPr>
          <w:rFonts w:ascii="Times New Roman" w:hAnsi="Times New Roman"/>
          <w:b/>
          <w:sz w:val="24"/>
        </w:rPr>
      </w:pPr>
      <w:r w:rsidRPr="008E1BE6">
        <w:rPr>
          <w:rFonts w:ascii="Times New Roman" w:hAnsi="Times New Roman"/>
          <w:b/>
          <w:sz w:val="24"/>
        </w:rPr>
        <w:t>Fig. S9 No side effect of perampanel administration for NMDA receptor and CP-AMPA receptor function</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hint="eastAsia"/>
          <w:b/>
          <w:sz w:val="24"/>
        </w:rPr>
        <w:t>a</w:t>
      </w:r>
      <w:r w:rsidRPr="008E1BE6">
        <w:rPr>
          <w:rFonts w:ascii="Times New Roman" w:hAnsi="Times New Roman"/>
          <w:sz w:val="24"/>
        </w:rPr>
        <w:t>, Perampanel administration did not change the NMDA receptor function.</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lastRenderedPageBreak/>
        <w:t>NMDA:50μM</w:t>
      </w:r>
      <w:r w:rsidRPr="008E1BE6">
        <w:rPr>
          <w:rFonts w:ascii="Times New Roman" w:hAnsi="Times New Roman"/>
          <w:sz w:val="24"/>
        </w:rPr>
        <w:t>；</w:t>
      </w:r>
      <w:r w:rsidRPr="008E1BE6">
        <w:rPr>
          <w:rFonts w:ascii="Times New Roman" w:hAnsi="Times New Roman"/>
          <w:sz w:val="24"/>
        </w:rPr>
        <w:t>glycine:10μM</w:t>
      </w:r>
      <w:r w:rsidRPr="008E1BE6">
        <w:rPr>
          <w:rFonts w:ascii="Times New Roman" w:hAnsi="Times New Roman"/>
          <w:sz w:val="24"/>
        </w:rPr>
        <w:t>；</w:t>
      </w:r>
      <w:r w:rsidRPr="008E1BE6">
        <w:rPr>
          <w:rFonts w:ascii="Times New Roman" w:hAnsi="Times New Roman"/>
          <w:sz w:val="24"/>
        </w:rPr>
        <w:t>APV:50μM</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hint="eastAsia"/>
          <w:b/>
          <w:sz w:val="24"/>
        </w:rPr>
        <w:t>b</w:t>
      </w:r>
      <w:r w:rsidRPr="008E1BE6">
        <w:rPr>
          <w:rFonts w:ascii="Times New Roman" w:hAnsi="Times New Roman"/>
          <w:sz w:val="24"/>
        </w:rPr>
        <w:t>, Statistical comparison of NMDA receptor function between perampanel administration group (PER) and peramanel non-administration group (CD, sho</w:t>
      </w:r>
      <w:r w:rsidRPr="008E1BE6">
        <w:rPr>
          <w:rFonts w:ascii="Times New Roman" w:hAnsi="Times New Roman" w:hint="eastAsia"/>
          <w:sz w:val="24"/>
        </w:rPr>
        <w:t>w</w:t>
      </w:r>
      <w:r w:rsidRPr="008E1BE6">
        <w:rPr>
          <w:rFonts w:ascii="Times New Roman" w:hAnsi="Times New Roman"/>
          <w:sz w:val="24"/>
        </w:rPr>
        <w:t xml:space="preserve">n in </w:t>
      </w:r>
      <w:r w:rsidRPr="008E1BE6">
        <w:rPr>
          <w:rFonts w:ascii="Times New Roman" w:hAnsi="Times New Roman"/>
          <w:b/>
          <w:sz w:val="24"/>
        </w:rPr>
        <w:t>Fig. 1</w:t>
      </w:r>
      <w:r w:rsidRPr="008E1BE6">
        <w:rPr>
          <w:rFonts w:ascii="Times New Roman" w:hAnsi="Times New Roman" w:hint="eastAsia"/>
          <w:b/>
          <w:sz w:val="24"/>
        </w:rPr>
        <w:t>g</w:t>
      </w:r>
      <w:r w:rsidRPr="008E1BE6">
        <w:rPr>
          <w:rFonts w:ascii="Times New Roman" w:hAnsi="Times New Roman"/>
          <w:sz w:val="24"/>
        </w:rPr>
        <w:t>)</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sz w:val="24"/>
        </w:rPr>
        <w:t>mouse: PER: 17 weeks old, from 15 week to 17 week perampanel administration (n=5); CD: 17 weeks old (n=5)</w:t>
      </w:r>
    </w:p>
    <w:p w:rsidR="002D2797" w:rsidRPr="008E1BE6" w:rsidRDefault="002D2797" w:rsidP="002D2797">
      <w:pPr>
        <w:spacing w:line="480" w:lineRule="auto"/>
        <w:jc w:val="left"/>
        <w:rPr>
          <w:rFonts w:ascii="Times New Roman" w:hAnsi="Times New Roman"/>
          <w:sz w:val="24"/>
        </w:rPr>
      </w:pPr>
      <w:r w:rsidRPr="008E1BE6">
        <w:rPr>
          <w:rFonts w:ascii="Times New Roman" w:hAnsi="Times New Roman" w:hint="eastAsia"/>
          <w:b/>
          <w:sz w:val="24"/>
        </w:rPr>
        <w:t>c</w:t>
      </w:r>
      <w:r w:rsidRPr="008E1BE6">
        <w:rPr>
          <w:rFonts w:ascii="Times New Roman" w:hAnsi="Times New Roman"/>
          <w:sz w:val="24"/>
        </w:rPr>
        <w:t>, HFD induced CP-AMPA receptor function once treated with a perampanel plus HFD</w:t>
      </w:r>
      <w:r w:rsidRPr="008E1BE6">
        <w:rPr>
          <w:rFonts w:ascii="Times New Roman" w:hAnsi="Times New Roman"/>
          <w:sz w:val="24"/>
        </w:rPr>
        <w:cr/>
        <w:t xml:space="preserve">AMPA: 100 μM; CTZ: 100 μM; </w:t>
      </w:r>
      <w:r w:rsidRPr="008E1BE6">
        <w:rPr>
          <w:rFonts w:ascii="Times New Roman" w:hAnsi="Times New Roman" w:hint="eastAsia"/>
          <w:sz w:val="24"/>
        </w:rPr>
        <w:t>PER</w:t>
      </w:r>
      <w:r w:rsidRPr="008E1BE6">
        <w:rPr>
          <w:rFonts w:ascii="Times New Roman" w:hAnsi="Times New Roman"/>
          <w:sz w:val="24"/>
        </w:rPr>
        <w:t>: 10</w:t>
      </w:r>
      <w:r w:rsidRPr="008E1BE6">
        <w:rPr>
          <w:rFonts w:ascii="Times New Roman" w:hAnsi="Times New Roman" w:hint="eastAsia"/>
          <w:sz w:val="24"/>
        </w:rPr>
        <w:t>0</w:t>
      </w:r>
      <w:r w:rsidRPr="008E1BE6">
        <w:rPr>
          <w:rFonts w:ascii="Times New Roman" w:hAnsi="Times New Roman"/>
          <w:sz w:val="24"/>
        </w:rPr>
        <w:t xml:space="preserve"> μM</w:t>
      </w:r>
      <w:r w:rsidRPr="008E1BE6">
        <w:rPr>
          <w:rFonts w:ascii="Times New Roman" w:hAnsi="Times New Roman"/>
          <w:sz w:val="24"/>
        </w:rPr>
        <w:cr/>
      </w:r>
      <w:r w:rsidRPr="008E1BE6">
        <w:rPr>
          <w:rFonts w:ascii="Times New Roman" w:hAnsi="Times New Roman" w:hint="eastAsia"/>
          <w:b/>
          <w:sz w:val="24"/>
        </w:rPr>
        <w:t>d</w:t>
      </w:r>
      <w:r w:rsidRPr="008E1BE6">
        <w:rPr>
          <w:rFonts w:ascii="Times New Roman" w:hAnsi="Times New Roman"/>
          <w:sz w:val="24"/>
        </w:rPr>
        <w:t>, Statistical comparison of HFD induced CP-AMPA receptor function between once treated with perampanel plus HFD PER</w:t>
      </w:r>
      <w:r w:rsidRPr="008E1BE6">
        <w:rPr>
          <w:rFonts w:ascii="Times New Roman" w:hAnsi="Times New Roman" w:hint="eastAsia"/>
          <w:sz w:val="24"/>
        </w:rPr>
        <w:t>+HFD</w:t>
      </w:r>
      <w:r w:rsidRPr="008E1BE6">
        <w:rPr>
          <w:rFonts w:ascii="Times New Roman" w:hAnsi="Times New Roman" w:hint="eastAsia"/>
          <w:sz w:val="24"/>
        </w:rPr>
        <w:t>→</w:t>
      </w:r>
      <w:r w:rsidRPr="008E1BE6">
        <w:rPr>
          <w:rFonts w:ascii="Times New Roman" w:hAnsi="Times New Roman" w:hint="eastAsia"/>
          <w:sz w:val="24"/>
        </w:rPr>
        <w:t>HFD group (PER+HFD</w:t>
      </w:r>
      <w:r w:rsidRPr="008E1BE6">
        <w:rPr>
          <w:rFonts w:ascii="Times New Roman" w:hAnsi="Times New Roman" w:hint="eastAsia"/>
          <w:sz w:val="24"/>
        </w:rPr>
        <w:t>→</w:t>
      </w:r>
      <w:r w:rsidRPr="008E1BE6">
        <w:rPr>
          <w:rFonts w:ascii="Times New Roman" w:hAnsi="Times New Roman" w:hint="eastAsia"/>
          <w:sz w:val="24"/>
        </w:rPr>
        <w:t>HFD) and HFD group (HFD ,shown in Figure S1A)</w:t>
      </w:r>
      <w:r w:rsidRPr="008E1BE6">
        <w:rPr>
          <w:rFonts w:ascii="Times New Roman" w:hAnsi="Times New Roman" w:hint="eastAsia"/>
          <w:sz w:val="24"/>
        </w:rPr>
        <w:cr/>
        <w:t>mouse: PER+HFD : 17 weeks old, from 15week to 16 week perampanel administration then from 16 week to 17 week HFD (n=5); HFD: 17 weeks old, from 16 week to 17 week HFD (n=5)</w:t>
      </w:r>
      <w:r w:rsidRPr="008E1BE6">
        <w:rPr>
          <w:rFonts w:ascii="Times New Roman" w:hAnsi="Times New Roman" w:hint="eastAsia"/>
          <w:sz w:val="24"/>
        </w:rPr>
        <w:cr/>
      </w:r>
    </w:p>
    <w:p w:rsidR="002D2797" w:rsidRPr="008E1BE6" w:rsidRDefault="002D2797" w:rsidP="002D2797">
      <w:pPr>
        <w:spacing w:line="480" w:lineRule="auto"/>
        <w:rPr>
          <w:rFonts w:ascii="Times New Roman" w:hAnsi="Times New Roman"/>
          <w:sz w:val="24"/>
        </w:rPr>
      </w:pPr>
    </w:p>
    <w:p w:rsidR="002D2797" w:rsidRPr="008E1BE6" w:rsidRDefault="002D2797" w:rsidP="002D2797">
      <w:pPr>
        <w:spacing w:line="480" w:lineRule="auto"/>
        <w:rPr>
          <w:rFonts w:ascii="Times New Roman" w:hAnsi="Times New Roman"/>
          <w:sz w:val="24"/>
        </w:rPr>
      </w:pPr>
    </w:p>
    <w:p w:rsidR="002D2797" w:rsidRPr="008E1BE6" w:rsidRDefault="002D2797" w:rsidP="002D2797">
      <w:pPr>
        <w:spacing w:line="480" w:lineRule="auto"/>
        <w:rPr>
          <w:rFonts w:ascii="Times New Roman" w:hAnsi="Times New Roman"/>
          <w:sz w:val="24"/>
        </w:rPr>
      </w:pP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b/>
          <w:sz w:val="24"/>
        </w:rPr>
        <w:lastRenderedPageBreak/>
        <w:t xml:space="preserve">Table S1 </w:t>
      </w:r>
      <w:r w:rsidRPr="008E1BE6">
        <w:rPr>
          <w:rFonts w:ascii="Times New Roman" w:eastAsia="MS PGothic" w:hAnsi="Times New Roman"/>
          <w:sz w:val="24"/>
        </w:rPr>
        <w:t>Composition table of CE-2 feed (per 100 g)</w:t>
      </w:r>
    </w:p>
    <w:p w:rsidR="002D2797" w:rsidRPr="008E1BE6" w:rsidRDefault="002D2797" w:rsidP="002D2797">
      <w:pPr>
        <w:shd w:val="clear" w:color="auto" w:fill="FFFFFF"/>
        <w:spacing w:before="225" w:after="225" w:line="480" w:lineRule="auto"/>
        <w:jc w:val="left"/>
        <w:rPr>
          <w:rFonts w:ascii="Times New Roman" w:eastAsia="MS PGothic" w:hAnsi="Times New Roman"/>
          <w:b/>
          <w:sz w:val="24"/>
        </w:rPr>
      </w:pPr>
      <w:r w:rsidRPr="008E1BE6">
        <w:rPr>
          <w:rFonts w:ascii="Times New Roman" w:hAnsi="Times New Roman"/>
          <w:noProof/>
          <w:sz w:val="24"/>
          <w:lang w:eastAsia="en-US"/>
        </w:rPr>
        <w:drawing>
          <wp:inline distT="0" distB="0" distL="114300" distR="114300" wp14:anchorId="6E89906D" wp14:editId="2E768728">
            <wp:extent cx="4859722" cy="5581650"/>
            <wp:effectExtent l="19050" t="0" r="0" b="0"/>
            <wp:docPr id="13" name="図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形 1"/>
                    <pic:cNvPicPr>
                      <a:picLocks noChangeAspect="1"/>
                    </pic:cNvPicPr>
                  </pic:nvPicPr>
                  <pic:blipFill>
                    <a:blip r:embed="rId13" cstate="print"/>
                    <a:stretch>
                      <a:fillRect/>
                    </a:stretch>
                  </pic:blipFill>
                  <pic:spPr>
                    <a:xfrm>
                      <a:off x="0" y="0"/>
                      <a:ext cx="4859722" cy="5581650"/>
                    </a:xfrm>
                    <a:prstGeom prst="rect">
                      <a:avLst/>
                    </a:prstGeom>
                    <a:noFill/>
                    <a:ln>
                      <a:noFill/>
                    </a:ln>
                  </pic:spPr>
                </pic:pic>
              </a:graphicData>
            </a:graphic>
          </wp:inline>
        </w:drawing>
      </w:r>
    </w:p>
    <w:p w:rsidR="002D2797" w:rsidRPr="008E1BE6" w:rsidRDefault="002D2797" w:rsidP="002D2797">
      <w:pPr>
        <w:spacing w:line="480" w:lineRule="auto"/>
        <w:jc w:val="left"/>
        <w:rPr>
          <w:rFonts w:ascii="Times New Roman" w:eastAsia="MS PGothic" w:hAnsi="Times New Roman"/>
          <w:b/>
          <w:sz w:val="24"/>
        </w:rPr>
      </w:pPr>
    </w:p>
    <w:p w:rsidR="002D2797" w:rsidRPr="008E1BE6" w:rsidRDefault="002D2797" w:rsidP="002D2797">
      <w:pPr>
        <w:spacing w:line="480" w:lineRule="auto"/>
        <w:jc w:val="left"/>
        <w:rPr>
          <w:rFonts w:ascii="Times New Roman" w:eastAsia="MS PGothic" w:hAnsi="Times New Roman"/>
          <w:b/>
          <w:sz w:val="24"/>
        </w:rPr>
      </w:pPr>
    </w:p>
    <w:p w:rsidR="002D2797" w:rsidRPr="008E1BE6" w:rsidRDefault="002D2797" w:rsidP="002D2797">
      <w:pPr>
        <w:spacing w:line="480" w:lineRule="auto"/>
        <w:jc w:val="left"/>
        <w:rPr>
          <w:rFonts w:ascii="Times New Roman" w:eastAsia="MS PGothic" w:hAnsi="Times New Roman"/>
          <w:b/>
          <w:sz w:val="24"/>
        </w:rPr>
      </w:pPr>
    </w:p>
    <w:p w:rsidR="002D2797" w:rsidRPr="008E1BE6" w:rsidRDefault="002D2797" w:rsidP="002D2797">
      <w:pPr>
        <w:spacing w:line="480" w:lineRule="auto"/>
        <w:jc w:val="left"/>
        <w:rPr>
          <w:rFonts w:ascii="Times New Roman" w:eastAsia="MS PGothic" w:hAnsi="Times New Roman"/>
          <w:b/>
          <w:sz w:val="24"/>
        </w:rPr>
      </w:pPr>
    </w:p>
    <w:p w:rsidR="002D2797" w:rsidRPr="008E1BE6" w:rsidRDefault="002D2797" w:rsidP="002D2797">
      <w:pPr>
        <w:spacing w:line="480" w:lineRule="auto"/>
        <w:jc w:val="left"/>
        <w:rPr>
          <w:rFonts w:ascii="Times New Roman" w:eastAsia="MS PGothic" w:hAnsi="Times New Roman"/>
          <w:sz w:val="24"/>
        </w:rPr>
      </w:pPr>
      <w:r w:rsidRPr="008E1BE6">
        <w:rPr>
          <w:rFonts w:ascii="Times New Roman" w:eastAsia="MS PGothic" w:hAnsi="Times New Roman"/>
          <w:b/>
          <w:sz w:val="24"/>
        </w:rPr>
        <w:lastRenderedPageBreak/>
        <w:t xml:space="preserve">Table S2 </w:t>
      </w:r>
      <w:r w:rsidRPr="008E1BE6">
        <w:rPr>
          <w:rFonts w:ascii="Times New Roman" w:eastAsia="MS PGothic" w:hAnsi="Times New Roman"/>
          <w:sz w:val="24"/>
        </w:rPr>
        <w:t>Comparison CP-AMPA and NMDA response in the hippocampal regions in CD, HFD, and HFD with PER mice</w:t>
      </w:r>
    </w:p>
    <w:p w:rsidR="002D2797" w:rsidRPr="008E1BE6" w:rsidRDefault="002D2797" w:rsidP="002D2797">
      <w:pPr>
        <w:shd w:val="clear" w:color="auto" w:fill="FFFFFF"/>
        <w:spacing w:before="225" w:after="225" w:line="480" w:lineRule="auto"/>
        <w:jc w:val="left"/>
        <w:rPr>
          <w:rFonts w:ascii="Times New Roman" w:hAnsi="Times New Roman"/>
          <w:sz w:val="24"/>
        </w:rPr>
      </w:pPr>
      <w:r w:rsidRPr="008E1BE6">
        <w:rPr>
          <w:rFonts w:ascii="Times New Roman" w:hAnsi="Times New Roman"/>
          <w:noProof/>
          <w:sz w:val="24"/>
          <w:lang w:eastAsia="en-US"/>
        </w:rPr>
        <w:drawing>
          <wp:inline distT="0" distB="0" distL="0" distR="0" wp14:anchorId="142BD031" wp14:editId="6FDEA64A">
            <wp:extent cx="5398770" cy="1349375"/>
            <wp:effectExtent l="0" t="0" r="11430" b="3175"/>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1350011"/>
                    </a:xfrm>
                    <a:prstGeom prst="rect">
                      <a:avLst/>
                    </a:prstGeom>
                    <a:noFill/>
                    <a:ln>
                      <a:noFill/>
                    </a:ln>
                  </pic:spPr>
                </pic:pic>
              </a:graphicData>
            </a:graphic>
          </wp:inline>
        </w:drawing>
      </w:r>
    </w:p>
    <w:p w:rsidR="002D2797" w:rsidRPr="008E1BE6" w:rsidRDefault="002D2797" w:rsidP="002D2797">
      <w:pPr>
        <w:shd w:val="clear" w:color="auto" w:fill="FFFFFF"/>
        <w:spacing w:before="225" w:after="225" w:line="480" w:lineRule="auto"/>
        <w:jc w:val="left"/>
        <w:rPr>
          <w:rFonts w:ascii="Times New Roman" w:hAnsi="Times New Roman"/>
          <w:sz w:val="24"/>
        </w:rPr>
      </w:pPr>
    </w:p>
    <w:p w:rsidR="002D2797" w:rsidRPr="008E1BE6" w:rsidRDefault="002D2797" w:rsidP="002D2797">
      <w:pPr>
        <w:spacing w:line="480" w:lineRule="auto"/>
        <w:jc w:val="left"/>
        <w:rPr>
          <w:rFonts w:ascii="Times New Roman" w:eastAsiaTheme="minorEastAsia" w:hAnsi="Times New Roman"/>
          <w:b/>
          <w:sz w:val="24"/>
        </w:rPr>
      </w:pPr>
      <w:r w:rsidRPr="008E1BE6">
        <w:rPr>
          <w:rFonts w:ascii="Times New Roman" w:eastAsia="MS PGothic" w:hAnsi="Times New Roman"/>
          <w:b/>
          <w:sz w:val="24"/>
        </w:rPr>
        <w:t>Table S</w:t>
      </w:r>
      <w:r w:rsidRPr="008E1BE6">
        <w:rPr>
          <w:rFonts w:ascii="Times New Roman" w:eastAsiaTheme="minorEastAsia" w:hAnsi="Times New Roman"/>
          <w:b/>
          <w:sz w:val="24"/>
        </w:rPr>
        <w:t>3 Ca</w:t>
      </w:r>
      <w:r w:rsidRPr="008E1BE6">
        <w:rPr>
          <w:rFonts w:ascii="Times New Roman" w:eastAsiaTheme="minorEastAsia" w:hAnsi="Times New Roman"/>
          <w:b/>
          <w:sz w:val="24"/>
          <w:vertAlign w:val="superscript"/>
        </w:rPr>
        <w:t>2+</w:t>
      </w:r>
      <w:r w:rsidRPr="008E1BE6">
        <w:rPr>
          <w:rFonts w:ascii="Times New Roman" w:eastAsiaTheme="minorEastAsia" w:hAnsi="Times New Roman"/>
          <w:b/>
          <w:sz w:val="24"/>
        </w:rPr>
        <w:t>-permeability index of CA1, CA3, DG, and EC hippocampal subregions in mice fed with CD, HFD, and HFD with PER treatment.</w:t>
      </w:r>
    </w:p>
    <w:p w:rsidR="002D2797" w:rsidRPr="008E1BE6" w:rsidRDefault="002D2797" w:rsidP="002D2797">
      <w:pPr>
        <w:spacing w:line="480" w:lineRule="auto"/>
        <w:jc w:val="left"/>
        <w:rPr>
          <w:rFonts w:ascii="Times New Roman" w:eastAsiaTheme="minorEastAsia" w:hAnsi="Times New Roman"/>
          <w:b/>
          <w:sz w:val="24"/>
        </w:rPr>
      </w:pPr>
      <w:r w:rsidRPr="008E1BE6">
        <w:rPr>
          <w:rFonts w:ascii="Times New Roman" w:hAnsi="Times New Roman"/>
          <w:noProof/>
          <w:sz w:val="24"/>
          <w:lang w:eastAsia="en-US"/>
        </w:rPr>
        <w:drawing>
          <wp:inline distT="0" distB="0" distL="0" distR="0" wp14:anchorId="4B9E5174" wp14:editId="13A7B0A0">
            <wp:extent cx="5400040" cy="581660"/>
            <wp:effectExtent l="0" t="0" r="10160" b="8890"/>
            <wp:docPr id="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581730"/>
                    </a:xfrm>
                    <a:prstGeom prst="rect">
                      <a:avLst/>
                    </a:prstGeom>
                    <a:noFill/>
                    <a:ln>
                      <a:noFill/>
                    </a:ln>
                  </pic:spPr>
                </pic:pic>
              </a:graphicData>
            </a:graphic>
          </wp:inline>
        </w:drawing>
      </w:r>
    </w:p>
    <w:p w:rsidR="002D2797" w:rsidRPr="008E1BE6" w:rsidRDefault="002D2797" w:rsidP="002D2797">
      <w:pPr>
        <w:spacing w:line="480" w:lineRule="auto"/>
        <w:jc w:val="left"/>
        <w:rPr>
          <w:rFonts w:ascii="Times New Roman" w:eastAsia="MS PGothic" w:hAnsi="Times New Roman"/>
          <w:sz w:val="24"/>
        </w:rPr>
      </w:pPr>
      <w:r w:rsidRPr="008E1BE6">
        <w:rPr>
          <w:rFonts w:ascii="Times New Roman" w:eastAsia="MS PGothic" w:hAnsi="Times New Roman"/>
          <w:sz w:val="24"/>
        </w:rPr>
        <w:t>*We defined “GluA2’s RNA amount/(GluA1+GluA3+GluA4’s RNA amount) ratio” as Ca</w:t>
      </w:r>
      <w:r w:rsidRPr="008E1BE6">
        <w:rPr>
          <w:rFonts w:ascii="Times New Roman" w:eastAsia="MS PGothic" w:hAnsi="Times New Roman"/>
          <w:sz w:val="24"/>
          <w:vertAlign w:val="superscript"/>
        </w:rPr>
        <w:t>2+</w:t>
      </w:r>
      <w:r w:rsidRPr="008E1BE6">
        <w:rPr>
          <w:rFonts w:ascii="Times New Roman" w:eastAsia="MS PGothic" w:hAnsi="Times New Roman"/>
          <w:sz w:val="24"/>
        </w:rPr>
        <w:t>-permeability index.</w:t>
      </w:r>
    </w:p>
    <w:p w:rsidR="002D2797" w:rsidRPr="008E1BE6" w:rsidRDefault="002D2797" w:rsidP="002D2797">
      <w:pPr>
        <w:spacing w:line="480" w:lineRule="auto"/>
        <w:jc w:val="left"/>
        <w:rPr>
          <w:rFonts w:ascii="Times New Roman" w:eastAsiaTheme="minorEastAsia" w:hAnsi="Times New Roman"/>
          <w:b/>
          <w:sz w:val="24"/>
        </w:rPr>
      </w:pPr>
      <w:r w:rsidRPr="008E1BE6">
        <w:rPr>
          <w:rFonts w:ascii="Times New Roman" w:eastAsiaTheme="minorEastAsia" w:hAnsi="Times New Roman"/>
          <w:b/>
          <w:sz w:val="24"/>
        </w:rPr>
        <w:br w:type="page"/>
      </w:r>
    </w:p>
    <w:p w:rsidR="002D2797" w:rsidRPr="008E1BE6" w:rsidRDefault="002D2797" w:rsidP="002D27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left"/>
        <w:rPr>
          <w:rFonts w:ascii="Times New Roman" w:eastAsiaTheme="minorEastAsia" w:hAnsi="Times New Roman"/>
          <w:sz w:val="24"/>
        </w:rPr>
      </w:pPr>
      <w:r w:rsidRPr="008E1BE6">
        <w:rPr>
          <w:rFonts w:ascii="Times New Roman" w:eastAsia="MS PGothic" w:hAnsi="Times New Roman"/>
          <w:b/>
          <w:sz w:val="24"/>
        </w:rPr>
        <w:lastRenderedPageBreak/>
        <w:t>Table S</w:t>
      </w:r>
      <w:r w:rsidRPr="008E1BE6">
        <w:rPr>
          <w:rFonts w:ascii="Times New Roman" w:eastAsiaTheme="minorEastAsia" w:hAnsi="Times New Roman"/>
          <w:b/>
          <w:sz w:val="24"/>
        </w:rPr>
        <w:t xml:space="preserve">4 </w:t>
      </w:r>
      <w:r w:rsidRPr="008E1BE6">
        <w:rPr>
          <w:rFonts w:ascii="Times New Roman" w:eastAsiaTheme="minorEastAsia" w:hAnsi="Times New Roman"/>
          <w:sz w:val="24"/>
        </w:rPr>
        <w:t>Number of human subjects in MRI analysis</w:t>
      </w:r>
    </w:p>
    <w:p w:rsidR="002D2797" w:rsidRPr="008E1BE6" w:rsidRDefault="002D2797" w:rsidP="002D2797">
      <w:pPr>
        <w:spacing w:line="480" w:lineRule="auto"/>
        <w:jc w:val="left"/>
        <w:rPr>
          <w:rFonts w:ascii="Times New Roman" w:eastAsiaTheme="minorEastAsia" w:hAnsi="Times New Roman"/>
          <w:sz w:val="24"/>
        </w:rPr>
      </w:pPr>
      <w:r w:rsidRPr="008E1BE6">
        <w:rPr>
          <w:rFonts w:ascii="Times New Roman" w:hAnsi="Times New Roman"/>
          <w:noProof/>
          <w:sz w:val="24"/>
          <w:lang w:eastAsia="en-US"/>
        </w:rPr>
        <w:drawing>
          <wp:inline distT="0" distB="0" distL="0" distR="0" wp14:anchorId="232FA9AB" wp14:editId="768CB9CB">
            <wp:extent cx="5400040" cy="666750"/>
            <wp:effectExtent l="0" t="0" r="1016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667314"/>
                    </a:xfrm>
                    <a:prstGeom prst="rect">
                      <a:avLst/>
                    </a:prstGeom>
                    <a:noFill/>
                    <a:ln>
                      <a:noFill/>
                    </a:ln>
                  </pic:spPr>
                </pic:pic>
              </a:graphicData>
            </a:graphic>
          </wp:inline>
        </w:drawing>
      </w: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4"/>
        </w:rPr>
      </w:pPr>
    </w:p>
    <w:p w:rsidR="002D2797" w:rsidRPr="008E1BE6" w:rsidRDefault="002D2797" w:rsidP="002D2797">
      <w:pPr>
        <w:spacing w:line="480" w:lineRule="auto"/>
        <w:jc w:val="left"/>
        <w:rPr>
          <w:rFonts w:ascii="Times New Roman" w:hAnsi="Times New Roman"/>
          <w:b/>
          <w:sz w:val="27"/>
          <w:szCs w:val="27"/>
        </w:rPr>
      </w:pPr>
    </w:p>
    <w:p w:rsidR="002D2797" w:rsidRPr="008E1BE6" w:rsidRDefault="002D2797" w:rsidP="002D2797">
      <w:pPr>
        <w:spacing w:line="480" w:lineRule="auto"/>
        <w:jc w:val="left"/>
        <w:rPr>
          <w:rFonts w:ascii="Times New Roman" w:hAnsi="Times New Roman"/>
          <w:sz w:val="27"/>
          <w:szCs w:val="27"/>
        </w:rPr>
      </w:pPr>
      <w:r w:rsidRPr="008E1BE6">
        <w:rPr>
          <w:rFonts w:ascii="Times New Roman" w:eastAsia="MS PGothic" w:hAnsi="Times New Roman"/>
          <w:b/>
          <w:sz w:val="27"/>
          <w:szCs w:val="27"/>
        </w:rPr>
        <w:lastRenderedPageBreak/>
        <w:t>Table S</w:t>
      </w:r>
      <w:r w:rsidRPr="008E1BE6">
        <w:rPr>
          <w:rFonts w:ascii="Times New Roman" w:hAnsi="Times New Roman"/>
          <w:b/>
          <w:sz w:val="27"/>
          <w:szCs w:val="27"/>
        </w:rPr>
        <w:t xml:space="preserve">5 </w:t>
      </w:r>
      <w:r w:rsidRPr="008E1BE6">
        <w:rPr>
          <w:rFonts w:ascii="Times New Roman" w:hAnsi="Times New Roman"/>
          <w:sz w:val="27"/>
          <w:szCs w:val="27"/>
        </w:rPr>
        <w:t>Mouse primer set for RT-PCR</w:t>
      </w:r>
    </w:p>
    <w:tbl>
      <w:tblPr>
        <w:tblStyle w:val="TableGrid"/>
        <w:tblW w:w="8861" w:type="dxa"/>
        <w:tblLayout w:type="fixed"/>
        <w:tblLook w:val="04A0" w:firstRow="1" w:lastRow="0" w:firstColumn="1" w:lastColumn="0" w:noHBand="0" w:noVBand="1"/>
      </w:tblPr>
      <w:tblGrid>
        <w:gridCol w:w="1022"/>
        <w:gridCol w:w="3869"/>
        <w:gridCol w:w="3970"/>
      </w:tblGrid>
      <w:tr w:rsidR="002D2797" w:rsidRPr="008E1BE6" w:rsidTr="00A311CC">
        <w:trPr>
          <w:trHeight w:val="331"/>
        </w:trPr>
        <w:tc>
          <w:tcPr>
            <w:tcW w:w="1022" w:type="dxa"/>
          </w:tcPr>
          <w:p w:rsidR="002D2797" w:rsidRPr="008E1BE6" w:rsidRDefault="002D2797" w:rsidP="00A311CC">
            <w:pPr>
              <w:jc w:val="left"/>
              <w:rPr>
                <w:rFonts w:ascii="Times New Roman" w:hAnsi="Times New Roman"/>
                <w:b/>
                <w:bCs/>
                <w:sz w:val="24"/>
              </w:rPr>
            </w:pPr>
            <w:r w:rsidRPr="008E1BE6">
              <w:rPr>
                <w:rFonts w:ascii="Times New Roman" w:hAnsi="Times New Roman"/>
                <w:b/>
                <w:bCs/>
                <w:sz w:val="24"/>
              </w:rPr>
              <w:t>Gene name</w:t>
            </w:r>
          </w:p>
        </w:tc>
        <w:tc>
          <w:tcPr>
            <w:tcW w:w="3869" w:type="dxa"/>
          </w:tcPr>
          <w:p w:rsidR="002D2797" w:rsidRPr="008E1BE6" w:rsidRDefault="002D2797" w:rsidP="00A311CC">
            <w:pPr>
              <w:jc w:val="left"/>
              <w:rPr>
                <w:rFonts w:ascii="Times New Roman" w:hAnsi="Times New Roman"/>
                <w:b/>
                <w:bCs/>
                <w:sz w:val="24"/>
              </w:rPr>
            </w:pPr>
            <w:r w:rsidRPr="008E1BE6">
              <w:rPr>
                <w:rFonts w:ascii="Times New Roman" w:hAnsi="Times New Roman"/>
                <w:b/>
                <w:bCs/>
                <w:sz w:val="24"/>
              </w:rPr>
              <w:t>Forward primer</w:t>
            </w:r>
          </w:p>
        </w:tc>
        <w:tc>
          <w:tcPr>
            <w:tcW w:w="3970" w:type="dxa"/>
          </w:tcPr>
          <w:p w:rsidR="002D2797" w:rsidRPr="008E1BE6" w:rsidRDefault="002D2797" w:rsidP="00A311CC">
            <w:pPr>
              <w:jc w:val="left"/>
              <w:rPr>
                <w:rFonts w:ascii="Times New Roman" w:hAnsi="Times New Roman"/>
                <w:b/>
                <w:bCs/>
                <w:sz w:val="24"/>
              </w:rPr>
            </w:pPr>
            <w:r w:rsidRPr="008E1BE6">
              <w:rPr>
                <w:rFonts w:ascii="Times New Roman" w:hAnsi="Times New Roman"/>
                <w:b/>
                <w:bCs/>
                <w:sz w:val="24"/>
              </w:rPr>
              <w:t>Reverse primer</w:t>
            </w:r>
          </w:p>
        </w:tc>
      </w:tr>
      <w:tr w:rsidR="002D2797" w:rsidRPr="008E1BE6" w:rsidTr="00A311CC">
        <w:trPr>
          <w:trHeight w:val="317"/>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beta-actin</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ACAGCTTCACCACCACAGCT</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TGCGGCAGTGGCCATCTCCT</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GluA1</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CTGTGAATCAGAACGCCTCA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GGAAACCTGTCACATTGGCT</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GluA2</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CCCTGGAGCACACACAGCGA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CTGCTTCCGAAGATTGCGGA</w:t>
            </w:r>
          </w:p>
        </w:tc>
      </w:tr>
      <w:tr w:rsidR="002D2797" w:rsidRPr="008E1BE6" w:rsidTr="00A311CC">
        <w:trPr>
          <w:trHeight w:val="317"/>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GluA3</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GTGCAGTTATACAACACCAACCA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GAGCAGAAAGCATTAGTCACAGA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GluA4</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GGCTCAGGAGTGCACCTCTCA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CTTCTGCAGTGCTCTGCACA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GluN1</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CATCGGCATGCGCAAGGACA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TGTCTTATCCAGGTCTTCCA</w:t>
            </w:r>
          </w:p>
        </w:tc>
      </w:tr>
      <w:tr w:rsidR="002D2797" w:rsidRPr="008E1BE6" w:rsidTr="00A311CC">
        <w:trPr>
          <w:trHeight w:val="317"/>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GluN2A</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GGGTCACAGAGCAACATGCT</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AGCTCTTTTGGGTGAGTCCA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GluN2B</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GTGAGAGCTCCTTTGCCAAC</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TCAGGGTAGAGCGACTTGCT</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GluN2C</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AAGGCCTTTTGTCATTGTGG</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CTTGAGGATGTCGATGCAGA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GluN2D</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GACTACTCCTTCAATGAGGA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GTTCCCAGCTGCCCACCACT</w:t>
            </w:r>
          </w:p>
        </w:tc>
      </w:tr>
      <w:tr w:rsidR="002D2797" w:rsidRPr="008E1BE6" w:rsidTr="00A311CC">
        <w:trPr>
          <w:trHeight w:val="317"/>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GluN3A</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CCAGTCAGAGGTTTCACAGA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CCATCTTCTCCATCTGCTCT</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GluN3B</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CTTGGCTAGGTTTCTGAGCA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GCGTAAGCTCCATACCTTGA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ADAR1</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AAGACTCGGAGAAACCAGCA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CCTTCTTTGGACAGGAGACG</w:t>
            </w:r>
          </w:p>
        </w:tc>
      </w:tr>
      <w:tr w:rsidR="002D2797" w:rsidRPr="008E1BE6" w:rsidTr="00A311CC">
        <w:trPr>
          <w:trHeight w:val="317"/>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ADAR2</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TGCCTTGGCTACTGTCTTCA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CCAGAGAGCACTTTCCTTCG</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ADAR3</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CCAGGAAAGTCTCCCCACTT</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CCGTGTGCTTAGCCTACCAT</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REST</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ACATGCGGACTCATTCAGGT</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GAGGTTTAGGCCCGTTGTGA</w:t>
            </w:r>
          </w:p>
        </w:tc>
      </w:tr>
      <w:tr w:rsidR="002D2797" w:rsidRPr="008E1BE6" w:rsidTr="00A311CC">
        <w:trPr>
          <w:trHeight w:val="331"/>
        </w:trPr>
        <w:tc>
          <w:tcPr>
            <w:tcW w:w="1022"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RP58</w:t>
            </w:r>
          </w:p>
        </w:tc>
        <w:tc>
          <w:tcPr>
            <w:tcW w:w="3869"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GCTTTCGCTCTCCTGCTTGA</w:t>
            </w:r>
          </w:p>
        </w:tc>
        <w:tc>
          <w:tcPr>
            <w:tcW w:w="3970" w:type="dxa"/>
          </w:tcPr>
          <w:p w:rsidR="002D2797" w:rsidRPr="008E1BE6" w:rsidRDefault="002D2797" w:rsidP="00A311CC">
            <w:pPr>
              <w:jc w:val="left"/>
              <w:rPr>
                <w:rFonts w:ascii="Times New Roman" w:hAnsi="Times New Roman"/>
                <w:sz w:val="18"/>
                <w:szCs w:val="18"/>
              </w:rPr>
            </w:pPr>
            <w:r w:rsidRPr="008E1BE6">
              <w:rPr>
                <w:rFonts w:ascii="Times New Roman" w:hAnsi="Times New Roman"/>
                <w:sz w:val="18"/>
                <w:szCs w:val="18"/>
              </w:rPr>
              <w:t>TGTGGAGATAACTGGCAGCT</w:t>
            </w:r>
          </w:p>
        </w:tc>
      </w:tr>
    </w:tbl>
    <w:p w:rsidR="002D2797" w:rsidRPr="008E1BE6" w:rsidRDefault="002D2797" w:rsidP="002D2797">
      <w:pPr>
        <w:spacing w:line="480" w:lineRule="auto"/>
        <w:jc w:val="left"/>
        <w:rPr>
          <w:rFonts w:ascii="Times New Roman" w:eastAsia="MS PGothic" w:hAnsi="Times New Roman"/>
          <w:b/>
          <w:sz w:val="18"/>
          <w:szCs w:val="18"/>
        </w:rPr>
      </w:pPr>
    </w:p>
    <w:p w:rsidR="002D2797" w:rsidRPr="008E1BE6" w:rsidRDefault="002D2797" w:rsidP="002D2797">
      <w:pPr>
        <w:spacing w:line="480" w:lineRule="auto"/>
        <w:jc w:val="left"/>
        <w:rPr>
          <w:rFonts w:ascii="Times New Roman" w:eastAsia="MS PGothic" w:hAnsi="Times New Roman"/>
          <w:b/>
          <w:sz w:val="18"/>
          <w:szCs w:val="18"/>
        </w:rPr>
      </w:pPr>
    </w:p>
    <w:p w:rsidR="002D2797" w:rsidRPr="008E1BE6" w:rsidRDefault="002D2797" w:rsidP="002D2797">
      <w:pPr>
        <w:spacing w:line="480" w:lineRule="auto"/>
        <w:jc w:val="left"/>
        <w:rPr>
          <w:rFonts w:ascii="Times New Roman" w:eastAsia="MS PGothic" w:hAnsi="Times New Roman"/>
          <w:b/>
          <w:sz w:val="18"/>
          <w:szCs w:val="18"/>
        </w:rPr>
      </w:pPr>
    </w:p>
    <w:p w:rsidR="002D2797" w:rsidRPr="008E1BE6" w:rsidRDefault="002D2797" w:rsidP="002D2797">
      <w:pPr>
        <w:spacing w:line="480" w:lineRule="auto"/>
        <w:jc w:val="left"/>
        <w:rPr>
          <w:rFonts w:ascii="Times New Roman" w:eastAsia="MS PGothic" w:hAnsi="Times New Roman"/>
          <w:b/>
          <w:sz w:val="18"/>
          <w:szCs w:val="18"/>
        </w:rPr>
      </w:pPr>
    </w:p>
    <w:p w:rsidR="002D2797" w:rsidRPr="008E1BE6" w:rsidRDefault="002D2797" w:rsidP="002D2797">
      <w:pPr>
        <w:spacing w:line="480" w:lineRule="auto"/>
        <w:jc w:val="left"/>
        <w:rPr>
          <w:rFonts w:ascii="Times New Roman" w:eastAsia="MS PGothic" w:hAnsi="Times New Roman"/>
          <w:b/>
          <w:sz w:val="27"/>
          <w:szCs w:val="27"/>
        </w:rPr>
      </w:pPr>
    </w:p>
    <w:p w:rsidR="002D2797" w:rsidRPr="008E1BE6" w:rsidRDefault="002D2797" w:rsidP="002D2797">
      <w:pPr>
        <w:spacing w:line="480" w:lineRule="auto"/>
        <w:jc w:val="left"/>
        <w:rPr>
          <w:rFonts w:ascii="Times New Roman" w:eastAsia="MS PGothic" w:hAnsi="Times New Roman"/>
          <w:b/>
          <w:sz w:val="27"/>
          <w:szCs w:val="27"/>
        </w:rPr>
      </w:pPr>
    </w:p>
    <w:p w:rsidR="002D2797" w:rsidRPr="008E1BE6" w:rsidRDefault="002D2797" w:rsidP="002D2797">
      <w:pPr>
        <w:spacing w:line="480" w:lineRule="auto"/>
        <w:jc w:val="left"/>
        <w:rPr>
          <w:rFonts w:ascii="Times New Roman" w:eastAsia="MS PGothic" w:hAnsi="Times New Roman"/>
          <w:b/>
          <w:sz w:val="27"/>
          <w:szCs w:val="27"/>
        </w:rPr>
      </w:pPr>
    </w:p>
    <w:p w:rsidR="002D2797" w:rsidRPr="008E1BE6" w:rsidRDefault="002D2797" w:rsidP="002D2797">
      <w:pPr>
        <w:spacing w:line="480" w:lineRule="auto"/>
        <w:jc w:val="left"/>
        <w:rPr>
          <w:rFonts w:ascii="Times New Roman" w:hAnsi="Times New Roman"/>
          <w:sz w:val="27"/>
          <w:szCs w:val="27"/>
        </w:rPr>
      </w:pPr>
      <w:r w:rsidRPr="008E1BE6">
        <w:rPr>
          <w:rFonts w:ascii="Times New Roman" w:eastAsia="MS PGothic" w:hAnsi="Times New Roman"/>
          <w:b/>
          <w:sz w:val="27"/>
          <w:szCs w:val="27"/>
        </w:rPr>
        <w:t>Table S</w:t>
      </w:r>
      <w:r w:rsidRPr="008E1BE6">
        <w:rPr>
          <w:rFonts w:ascii="Times New Roman" w:hAnsi="Times New Roman"/>
          <w:b/>
          <w:sz w:val="27"/>
          <w:szCs w:val="27"/>
        </w:rPr>
        <w:t xml:space="preserve">6 </w:t>
      </w:r>
      <w:r w:rsidRPr="008E1BE6">
        <w:rPr>
          <w:rStyle w:val="tlid-translation"/>
          <w:rFonts w:ascii="Times New Roman" w:hAnsi="Times New Roman"/>
          <w:bCs/>
          <w:sz w:val="27"/>
          <w:szCs w:val="27"/>
        </w:rPr>
        <w:t xml:space="preserve">Significant differences of hippocampal subfield activation among </w:t>
      </w:r>
      <w:r w:rsidRPr="008E1BE6">
        <w:rPr>
          <w:rStyle w:val="tlid-translation"/>
          <w:rFonts w:ascii="Times New Roman" w:hAnsi="Times New Roman"/>
          <w:bCs/>
          <w:sz w:val="27"/>
          <w:szCs w:val="27"/>
        </w:rPr>
        <w:lastRenderedPageBreak/>
        <w:t>three (</w:t>
      </w:r>
      <w:r w:rsidRPr="008E1BE6">
        <w:rPr>
          <w:rFonts w:ascii="Times New Roman" w:hAnsi="Times New Roman"/>
          <w:sz w:val="27"/>
          <w:szCs w:val="27"/>
        </w:rPr>
        <w:t xml:space="preserve">normal weight, overweight, and obese) </w:t>
      </w:r>
      <w:r w:rsidRPr="008E1BE6">
        <w:rPr>
          <w:rStyle w:val="tlid-translation"/>
          <w:rFonts w:ascii="Times New Roman" w:hAnsi="Times New Roman"/>
          <w:bCs/>
          <w:sz w:val="27"/>
          <w:szCs w:val="27"/>
        </w:rPr>
        <w:t xml:space="preserve">groups. </w:t>
      </w:r>
      <w:r w:rsidRPr="008E1BE6">
        <w:rPr>
          <w:rFonts w:ascii="Times New Roman" w:hAnsi="Times New Roman"/>
          <w:sz w:val="24"/>
        </w:rPr>
        <w:t xml:space="preserve">The participants in this study were 117 healthy volunteers (mean age 37.8 ± 19.6 years; 65 females, 52 males) and 5 patients with benign tumors (mean age 55.5 ± 9.6 years; 2 females, 3 males). They were divided into three groups by body mass index (BMI) according to WHO criteria: normal weight (BMI &lt; 25), overweight (BMI </w:t>
      </w:r>
      <w:r w:rsidRPr="008E1BE6">
        <w:rPr>
          <w:rFonts w:ascii="Times New Roman" w:eastAsia="Arial" w:hAnsi="Times New Roman"/>
          <w:sz w:val="24"/>
        </w:rPr>
        <w:t xml:space="preserve">≥ </w:t>
      </w:r>
      <w:r w:rsidRPr="008E1BE6">
        <w:rPr>
          <w:rFonts w:ascii="Times New Roman" w:hAnsi="Times New Roman"/>
          <w:sz w:val="24"/>
        </w:rPr>
        <w:t xml:space="preserve">25 and &lt; 30), and obese (BMI </w:t>
      </w:r>
      <w:r w:rsidRPr="008E1BE6">
        <w:rPr>
          <w:rFonts w:ascii="Times New Roman" w:eastAsia="Arial" w:hAnsi="Times New Roman"/>
          <w:sz w:val="24"/>
        </w:rPr>
        <w:t xml:space="preserve">≥ </w:t>
      </w:r>
      <w:r w:rsidRPr="008E1BE6">
        <w:rPr>
          <w:rFonts w:ascii="Times New Roman" w:hAnsi="Times New Roman"/>
          <w:sz w:val="24"/>
        </w:rPr>
        <w:t xml:space="preserve">30 ). There were 84 </w:t>
      </w:r>
      <w:r w:rsidRPr="008E1BE6">
        <w:rPr>
          <w:rFonts w:ascii="Times New Roman" w:eastAsia="MS Gothic" w:hAnsi="Times New Roman"/>
          <w:sz w:val="24"/>
        </w:rPr>
        <w:t xml:space="preserve">patients in the </w:t>
      </w:r>
      <w:r w:rsidRPr="008E1BE6">
        <w:rPr>
          <w:rFonts w:ascii="Times New Roman" w:hAnsi="Times New Roman"/>
          <w:sz w:val="24"/>
        </w:rPr>
        <w:t>normal-weight group (mean BMI: 20 ± 1.8), 27 in the overweight group (mean BMI: 26 ± 1.2), and 11 in the obese group (mean BMI: 32 ± 2.3).</w:t>
      </w:r>
    </w:p>
    <w:p w:rsidR="002D2797" w:rsidRPr="008E1BE6" w:rsidRDefault="002D2797" w:rsidP="002D2797">
      <w:pPr>
        <w:spacing w:line="480" w:lineRule="auto"/>
        <w:jc w:val="left"/>
        <w:rPr>
          <w:rStyle w:val="tlid-translation"/>
          <w:rFonts w:ascii="Times New Roman" w:hAnsi="Times New Roman"/>
          <w:sz w:val="24"/>
        </w:rPr>
      </w:pPr>
      <w:r w:rsidRPr="008E1BE6">
        <w:rPr>
          <w:rFonts w:ascii="Times New Roman" w:hAnsi="Times New Roman"/>
          <w:noProof/>
          <w:sz w:val="24"/>
          <w:lang w:eastAsia="en-US"/>
        </w:rPr>
        <w:drawing>
          <wp:inline distT="0" distB="0" distL="0" distR="0" wp14:anchorId="0FC09530" wp14:editId="6A281067">
            <wp:extent cx="4272733" cy="2200275"/>
            <wp:effectExtent l="1905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81984" cy="2205039"/>
                    </a:xfrm>
                    <a:prstGeom prst="rect">
                      <a:avLst/>
                    </a:prstGeom>
                  </pic:spPr>
                </pic:pic>
              </a:graphicData>
            </a:graphic>
          </wp:inline>
        </w:drawing>
      </w:r>
    </w:p>
    <w:p w:rsidR="002D2797" w:rsidRPr="008E1BE6" w:rsidRDefault="002D2797" w:rsidP="002D2797">
      <w:pPr>
        <w:spacing w:line="480" w:lineRule="auto"/>
        <w:jc w:val="left"/>
        <w:rPr>
          <w:rFonts w:ascii="Times New Roman" w:hAnsi="Times New Roman"/>
          <w:sz w:val="24"/>
        </w:rPr>
      </w:pPr>
      <w:r w:rsidRPr="008E1BE6">
        <w:rPr>
          <w:rStyle w:val="tlid-translation"/>
          <w:rFonts w:ascii="Times New Roman" w:hAnsi="Times New Roman"/>
          <w:sz w:val="24"/>
        </w:rPr>
        <w:t>Statistical analysis was done by one-way ANOVA.</w:t>
      </w:r>
      <w:r w:rsidRPr="008E1BE6">
        <w:rPr>
          <w:rFonts w:ascii="Times New Roman" w:hAnsi="Times New Roman"/>
          <w:sz w:val="24"/>
        </w:rPr>
        <w:t xml:space="preserve"> Voxel-level threshold at </w:t>
      </w:r>
      <w:r w:rsidRPr="008E1BE6">
        <w:rPr>
          <w:rFonts w:ascii="Times New Roman" w:hAnsi="Times New Roman"/>
          <w:i/>
          <w:sz w:val="24"/>
        </w:rPr>
        <w:t>p</w:t>
      </w:r>
      <w:r w:rsidRPr="008E1BE6">
        <w:rPr>
          <w:rFonts w:ascii="Times New Roman" w:hAnsi="Times New Roman"/>
          <w:sz w:val="24"/>
        </w:rPr>
        <w:t xml:space="preserve"> &lt; 0.05</w:t>
      </w:r>
      <w:r w:rsidRPr="008E1BE6">
        <w:rPr>
          <w:rFonts w:ascii="Times New Roman" w:eastAsia="平成明朝" w:hAnsi="Times New Roman"/>
          <w:sz w:val="24"/>
        </w:rPr>
        <w:t>, corrected for multiple comparisons (</w:t>
      </w:r>
      <w:r w:rsidRPr="008E1BE6">
        <w:rPr>
          <w:rFonts w:ascii="Times New Roman" w:hAnsi="Times New Roman"/>
          <w:sz w:val="24"/>
        </w:rPr>
        <w:t>family-wise error)</w:t>
      </w:r>
      <w:r w:rsidRPr="008E1BE6">
        <w:rPr>
          <w:rFonts w:ascii="Times New Roman" w:eastAsia="平成明朝" w:hAnsi="Times New Roman"/>
          <w:sz w:val="24"/>
        </w:rPr>
        <w:t>.</w:t>
      </w:r>
    </w:p>
    <w:p w:rsidR="002D2797" w:rsidRPr="008E1BE6" w:rsidRDefault="002D2797" w:rsidP="002D2797">
      <w:pPr>
        <w:pStyle w:val="NormalWeb"/>
        <w:spacing w:line="480" w:lineRule="auto"/>
        <w:rPr>
          <w:rFonts w:eastAsia="MS PGothic"/>
          <w:b/>
          <w:sz w:val="27"/>
          <w:szCs w:val="27"/>
          <w:lang w:eastAsia="ja-JP"/>
        </w:rPr>
      </w:pPr>
    </w:p>
    <w:p w:rsidR="002D2797" w:rsidRPr="008E1BE6" w:rsidRDefault="002D2797" w:rsidP="002D2797">
      <w:pPr>
        <w:pStyle w:val="NormalWeb"/>
        <w:spacing w:line="480" w:lineRule="auto"/>
        <w:rPr>
          <w:rFonts w:eastAsia="MS PGothic"/>
          <w:b/>
          <w:sz w:val="27"/>
          <w:szCs w:val="27"/>
          <w:lang w:eastAsia="ja-JP"/>
        </w:rPr>
      </w:pPr>
    </w:p>
    <w:p w:rsidR="002D2797" w:rsidRPr="008E1BE6" w:rsidRDefault="002D2797" w:rsidP="002D2797">
      <w:pPr>
        <w:pStyle w:val="NormalWeb"/>
        <w:spacing w:line="480" w:lineRule="auto"/>
        <w:rPr>
          <w:rFonts w:eastAsiaTheme="minorEastAsia"/>
          <w:b/>
          <w:bCs/>
          <w:kern w:val="2"/>
          <w:sz w:val="27"/>
          <w:szCs w:val="27"/>
          <w:lang w:eastAsia="ja-JP"/>
        </w:rPr>
      </w:pPr>
      <w:r w:rsidRPr="008E1BE6">
        <w:rPr>
          <w:rFonts w:eastAsia="MS PGothic"/>
          <w:b/>
          <w:sz w:val="27"/>
          <w:szCs w:val="27"/>
        </w:rPr>
        <w:lastRenderedPageBreak/>
        <w:t>Table</w:t>
      </w:r>
      <w:r w:rsidRPr="008E1BE6">
        <w:rPr>
          <w:rFonts w:eastAsia="MS PGothic"/>
          <w:b/>
          <w:sz w:val="27"/>
          <w:szCs w:val="27"/>
          <w:lang w:eastAsia="ja-JP"/>
        </w:rPr>
        <w:t xml:space="preserve"> S</w:t>
      </w:r>
      <w:r w:rsidRPr="008E1BE6">
        <w:rPr>
          <w:rFonts w:eastAsiaTheme="minorEastAsia"/>
          <w:b/>
          <w:bCs/>
          <w:kern w:val="2"/>
          <w:sz w:val="27"/>
          <w:szCs w:val="27"/>
        </w:rPr>
        <w:t>7</w:t>
      </w:r>
      <w:r w:rsidRPr="008E1BE6">
        <w:rPr>
          <w:rFonts w:eastAsiaTheme="minorEastAsia"/>
          <w:b/>
          <w:bCs/>
          <w:kern w:val="2"/>
          <w:sz w:val="27"/>
          <w:szCs w:val="27"/>
          <w:lang w:eastAsia="ja-JP"/>
        </w:rPr>
        <w:t xml:space="preserve"> </w:t>
      </w:r>
      <w:r w:rsidRPr="008E1BE6">
        <w:rPr>
          <w:rFonts w:eastAsiaTheme="minorEastAsia"/>
          <w:bCs/>
          <w:kern w:val="2"/>
          <w:sz w:val="27"/>
          <w:szCs w:val="27"/>
        </w:rPr>
        <w:t>The amplitude and the latency of BOLD responses in normal, overweight, and obese groups.</w:t>
      </w:r>
    </w:p>
    <w:p w:rsidR="002D2797" w:rsidRPr="008E1BE6" w:rsidRDefault="002D2797" w:rsidP="002D2797">
      <w:pPr>
        <w:spacing w:line="480" w:lineRule="auto"/>
        <w:jc w:val="left"/>
        <w:rPr>
          <w:rFonts w:ascii="Times New Roman" w:hAnsi="Times New Roman"/>
        </w:rPr>
      </w:pPr>
      <w:r w:rsidRPr="008E1BE6">
        <w:rPr>
          <w:rFonts w:ascii="Times New Roman" w:hAnsi="Times New Roman"/>
          <w:noProof/>
          <w:lang w:eastAsia="en-US"/>
        </w:rPr>
        <w:drawing>
          <wp:inline distT="0" distB="0" distL="0" distR="0" wp14:anchorId="1E0A2194" wp14:editId="05B6DC4C">
            <wp:extent cx="5238750" cy="4157417"/>
            <wp:effectExtent l="1905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40866" cy="4159096"/>
                    </a:xfrm>
                    <a:prstGeom prst="rect">
                      <a:avLst/>
                    </a:prstGeom>
                  </pic:spPr>
                </pic:pic>
              </a:graphicData>
            </a:graphic>
          </wp:inline>
        </w:drawing>
      </w:r>
      <w:r w:rsidRPr="008E1BE6">
        <w:rPr>
          <w:rFonts w:ascii="Times New Roman" w:hAnsi="Times New Roman"/>
        </w:rPr>
        <w:t xml:space="preserve"> </w:t>
      </w:r>
    </w:p>
    <w:p w:rsidR="002D2797" w:rsidRPr="008E1BE6" w:rsidRDefault="002D2797" w:rsidP="002D2797">
      <w:pPr>
        <w:spacing w:line="480" w:lineRule="auto"/>
        <w:jc w:val="left"/>
        <w:rPr>
          <w:rFonts w:ascii="Times New Roman" w:hAnsi="Times New Roman"/>
        </w:rPr>
      </w:pPr>
      <w:r w:rsidRPr="008E1BE6">
        <w:rPr>
          <w:rFonts w:ascii="Times New Roman" w:hAnsi="Times New Roman"/>
        </w:rPr>
        <w:t>This table explains the BOLD responses of CA3, CA1, and DG in Figs. 5. The values indicate the averages of amplitudes and latency, respectively. Values in parentheses indicate standard deviation.</w:t>
      </w: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pacing w:line="480" w:lineRule="auto"/>
        <w:jc w:val="left"/>
        <w:rPr>
          <w:rFonts w:ascii="Times New Roman" w:hAnsi="Times New Roman"/>
          <w:sz w:val="24"/>
        </w:rPr>
      </w:pPr>
    </w:p>
    <w:p w:rsidR="002D2797" w:rsidRPr="008E1BE6" w:rsidRDefault="002D2797" w:rsidP="002D2797">
      <w:pPr>
        <w:shd w:val="clear" w:color="auto" w:fill="FFFFFF"/>
        <w:spacing w:before="225" w:after="225" w:line="480" w:lineRule="auto"/>
        <w:jc w:val="left"/>
        <w:rPr>
          <w:rFonts w:ascii="Times New Roman" w:eastAsia="MS PGothic" w:hAnsi="Times New Roman"/>
          <w:sz w:val="27"/>
          <w:szCs w:val="27"/>
        </w:rPr>
      </w:pPr>
      <w:r w:rsidRPr="008E1BE6">
        <w:rPr>
          <w:rFonts w:ascii="Times New Roman" w:eastAsia="MS PGothic" w:hAnsi="Times New Roman"/>
          <w:b/>
          <w:sz w:val="27"/>
          <w:szCs w:val="27"/>
        </w:rPr>
        <w:lastRenderedPageBreak/>
        <w:t>Movie S1 Visualizing calcium signaling in hippocampal slices</w:t>
      </w:r>
    </w:p>
    <w:p w:rsidR="002D2797" w:rsidRPr="008E1BE6" w:rsidRDefault="002D2797" w:rsidP="002D2797">
      <w:pPr>
        <w:shd w:val="clear" w:color="auto" w:fill="FFFFFF"/>
        <w:spacing w:before="225" w:after="225" w:line="480" w:lineRule="auto"/>
        <w:jc w:val="left"/>
        <w:rPr>
          <w:rFonts w:ascii="Times New Roman" w:eastAsia="MS PGothic" w:hAnsi="Times New Roman"/>
          <w:sz w:val="27"/>
          <w:szCs w:val="27"/>
        </w:rPr>
      </w:pPr>
      <w:r w:rsidRPr="008E1BE6">
        <w:rPr>
          <w:rFonts w:ascii="Times New Roman" w:eastAsia="MS PGothic" w:hAnsi="Times New Roman"/>
          <w:sz w:val="24"/>
        </w:rPr>
        <w:t>Low-magnification video of calcium signaling in CP-AMPAR’s response in the hippocampus under CD and HFD conditions.</w:t>
      </w:r>
      <w:r w:rsidRPr="008E1BE6">
        <w:rPr>
          <w:rFonts w:ascii="Times New Roman" w:eastAsia="MS PGothic" w:hAnsi="Times New Roman" w:hint="eastAsia"/>
          <w:sz w:val="24"/>
        </w:rPr>
        <w:t xml:space="preserve"> </w:t>
      </w:r>
      <w:r w:rsidRPr="008E1BE6">
        <w:rPr>
          <w:rFonts w:ascii="Times New Roman" w:eastAsia="MS PGothic" w:hAnsi="Times New Roman"/>
          <w:sz w:val="24"/>
        </w:rPr>
        <w:t>This is a time-lapse video acquired by confocal microscopy of hippocampal slices of mice. The slice contains fluorescent calcium indicators that glow more brightly when the concentration of calcium increases inside the cell. The movie is a time-lapse recording of an experiment that is approximately 50 min long and compressed to 30 s.</w:t>
      </w:r>
      <w:r w:rsidRPr="008E1BE6">
        <w:rPr>
          <w:rFonts w:ascii="Times New Roman" w:eastAsia="MS PGothic" w:hAnsi="Times New Roman" w:hint="eastAsia"/>
          <w:sz w:val="24"/>
        </w:rPr>
        <w:t xml:space="preserve"> </w:t>
      </w:r>
      <w:r w:rsidRPr="008E1BE6">
        <w:rPr>
          <w:rFonts w:ascii="Times New Roman" w:eastAsia="MS PGothic" w:hAnsi="Times New Roman"/>
          <w:sz w:val="24"/>
        </w:rPr>
        <w:t>Calcium enters the cytoplasm through calcium-permeable AMPA or NMDA channels in the cell membrane.</w:t>
      </w:r>
      <w:r w:rsidRPr="008E1BE6">
        <w:rPr>
          <w:rFonts w:ascii="Times New Roman" w:eastAsia="MS PGothic" w:hAnsi="Times New Roman"/>
          <w:sz w:val="27"/>
          <w:szCs w:val="27"/>
        </w:rPr>
        <w:t xml:space="preserve"> </w:t>
      </w:r>
      <w:r w:rsidRPr="008E1BE6">
        <w:rPr>
          <w:rFonts w:ascii="Times New Roman" w:eastAsia="MS PGothic" w:hAnsi="Times New Roman"/>
          <w:sz w:val="24"/>
        </w:rPr>
        <w:t>The long axis and short axis of the hippocampus were approximately 3 mm and 2 mm, respectively.</w:t>
      </w:r>
      <w:r w:rsidRPr="008E1BE6">
        <w:rPr>
          <w:rFonts w:ascii="Times New Roman" w:eastAsia="MS PGothic" w:hAnsi="Times New Roman" w:hint="eastAsia"/>
          <w:sz w:val="24"/>
        </w:rPr>
        <w:t xml:space="preserve"> </w:t>
      </w:r>
      <w:r w:rsidRPr="008E1BE6">
        <w:rPr>
          <w:rFonts w:ascii="Times New Roman" w:eastAsia="MS PGothic" w:hAnsi="Times New Roman"/>
          <w:sz w:val="24"/>
        </w:rPr>
        <w:t>Mouse age is 17 weeks old.</w:t>
      </w:r>
      <w:r w:rsidRPr="008E1BE6">
        <w:rPr>
          <w:rFonts w:ascii="Times New Roman" w:eastAsia="MS PGothic" w:hAnsi="Times New Roman" w:hint="eastAsia"/>
          <w:sz w:val="24"/>
        </w:rPr>
        <w:t xml:space="preserve"> </w:t>
      </w:r>
      <w:r w:rsidRPr="008E1BE6">
        <w:rPr>
          <w:rFonts w:ascii="Times New Roman" w:eastAsia="MS PGothic" w:hAnsi="Times New Roman"/>
          <w:sz w:val="24"/>
        </w:rPr>
        <w:t>AMPA (100 μM) and CTZ (100 μM) cocktail was applied 10 min after the start of the video until 15 min.</w:t>
      </w:r>
      <w:r w:rsidRPr="008E1BE6">
        <w:rPr>
          <w:rFonts w:ascii="Times New Roman" w:eastAsia="MS PGothic" w:hAnsi="Times New Roman"/>
          <w:sz w:val="27"/>
          <w:szCs w:val="27"/>
        </w:rPr>
        <w:t xml:space="preserve"> </w:t>
      </w:r>
      <w:r w:rsidRPr="008E1BE6">
        <w:rPr>
          <w:rFonts w:ascii="Times New Roman" w:eastAsia="MS PGothic" w:hAnsi="Times New Roman"/>
          <w:sz w:val="24"/>
        </w:rPr>
        <w:t>MovieS1-1.mp4: CP-AMPAR’s response under CD conditions</w:t>
      </w:r>
      <w:r w:rsidRPr="008E1BE6">
        <w:rPr>
          <w:rFonts w:ascii="Times New Roman" w:eastAsia="MS PGothic" w:hAnsi="Times New Roman"/>
          <w:sz w:val="27"/>
          <w:szCs w:val="27"/>
        </w:rPr>
        <w:t xml:space="preserve">. </w:t>
      </w:r>
      <w:r w:rsidRPr="008E1BE6">
        <w:rPr>
          <w:rFonts w:ascii="Times New Roman" w:eastAsia="MS PGothic" w:hAnsi="Times New Roman"/>
          <w:sz w:val="24"/>
        </w:rPr>
        <w:t>MovieS1-2.mp4: CP-AMPAR’s response under HFD conditions</w:t>
      </w:r>
      <w:r w:rsidRPr="008E1BE6">
        <w:rPr>
          <w:rFonts w:ascii="Times New Roman" w:eastAsia="MS PGothic" w:hAnsi="Times New Roman" w:hint="eastAsia"/>
          <w:sz w:val="24"/>
        </w:rPr>
        <w:t>.</w:t>
      </w:r>
      <w:r w:rsidRPr="008E1BE6">
        <w:rPr>
          <w:rFonts w:ascii="Times New Roman" w:eastAsia="MS PGothic" w:hAnsi="Times New Roman"/>
          <w:sz w:val="27"/>
          <w:szCs w:val="27"/>
        </w:rPr>
        <w:t xml:space="preserve"> </w:t>
      </w:r>
      <w:r w:rsidRPr="008E1BE6">
        <w:rPr>
          <w:rFonts w:ascii="Times New Roman" w:eastAsia="MS PGothic" w:hAnsi="Times New Roman"/>
          <w:sz w:val="24"/>
        </w:rPr>
        <w:t>Technical details</w:t>
      </w:r>
      <w:r w:rsidRPr="008E1BE6">
        <w:rPr>
          <w:rFonts w:ascii="Times New Roman" w:eastAsia="MS PGothic" w:hAnsi="Times New Roman"/>
          <w:sz w:val="27"/>
          <w:szCs w:val="27"/>
        </w:rPr>
        <w:t xml:space="preserve">; </w:t>
      </w:r>
      <w:r w:rsidRPr="008E1BE6">
        <w:rPr>
          <w:rFonts w:ascii="Times New Roman" w:eastAsia="MS PGothic" w:hAnsi="Times New Roman"/>
          <w:sz w:val="24"/>
        </w:rPr>
        <w:t>Format: MOV</w:t>
      </w: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p>
    <w:p w:rsidR="002D2797" w:rsidRPr="008E1BE6" w:rsidRDefault="002D2797" w:rsidP="002D2797">
      <w:pPr>
        <w:shd w:val="clear" w:color="auto" w:fill="FFFFFF"/>
        <w:spacing w:before="225" w:after="225" w:line="480" w:lineRule="auto"/>
        <w:jc w:val="left"/>
        <w:rPr>
          <w:rFonts w:ascii="Times New Roman" w:eastAsia="MS PGothic" w:hAnsi="Times New Roman"/>
          <w:b/>
          <w:sz w:val="27"/>
          <w:szCs w:val="27"/>
        </w:rPr>
      </w:pPr>
    </w:p>
    <w:p w:rsidR="002D2797" w:rsidRPr="008E1BE6" w:rsidRDefault="002D2797" w:rsidP="002D2797">
      <w:pPr>
        <w:shd w:val="clear" w:color="auto" w:fill="FFFFFF"/>
        <w:spacing w:before="225" w:after="225" w:line="480" w:lineRule="auto"/>
        <w:jc w:val="left"/>
        <w:rPr>
          <w:rFonts w:ascii="Times New Roman" w:eastAsia="MS PGothic" w:hAnsi="Times New Roman"/>
          <w:b/>
          <w:sz w:val="27"/>
          <w:szCs w:val="27"/>
        </w:rPr>
      </w:pPr>
      <w:r w:rsidRPr="008E1BE6">
        <w:rPr>
          <w:rFonts w:ascii="Times New Roman" w:eastAsia="MS PGothic" w:hAnsi="Times New Roman"/>
          <w:b/>
          <w:sz w:val="27"/>
          <w:szCs w:val="27"/>
        </w:rPr>
        <w:lastRenderedPageBreak/>
        <w:t xml:space="preserve">Movie S2 </w:t>
      </w:r>
      <w:r w:rsidRPr="008E1BE6">
        <w:rPr>
          <w:rFonts w:ascii="Times New Roman" w:eastAsia="MS PGothic" w:hAnsi="Times New Roman"/>
          <w:sz w:val="27"/>
          <w:szCs w:val="27"/>
        </w:rPr>
        <w:t>Low-magnification video of calcium signaling in NMDAR’s response in the hippocampus under CD and HFD conditions.</w:t>
      </w:r>
      <w:r w:rsidRPr="008E1BE6">
        <w:rPr>
          <w:rFonts w:ascii="Times New Roman" w:eastAsia="MS PGothic" w:hAnsi="Times New Roman" w:hint="eastAsia"/>
          <w:sz w:val="27"/>
          <w:szCs w:val="27"/>
        </w:rPr>
        <w:t xml:space="preserve"> </w:t>
      </w:r>
      <w:r w:rsidRPr="008E1BE6">
        <w:rPr>
          <w:rFonts w:ascii="Times New Roman" w:eastAsia="MS PGothic" w:hAnsi="Times New Roman"/>
          <w:sz w:val="24"/>
        </w:rPr>
        <w:t>NMDA (50 μM) and glycine (10 μM) cocktail was applied 10 min after the start of the video until 15 min.MovieS2-1.mp4: NMDAR’s response under CD conditions</w:t>
      </w: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sz w:val="24"/>
        </w:rPr>
        <w:t>MovieS2-2.mp4: NMDAR’s response under HFD conditions. Technical details; Format: MOV</w:t>
      </w:r>
    </w:p>
    <w:p w:rsidR="002D2797" w:rsidRPr="008E1BE6" w:rsidRDefault="002D2797" w:rsidP="002D2797">
      <w:pPr>
        <w:spacing w:line="480" w:lineRule="auto"/>
        <w:jc w:val="left"/>
        <w:rPr>
          <w:rFonts w:ascii="Times New Roman" w:eastAsia="MS PGothic" w:hAnsi="Times New Roman"/>
          <w:sz w:val="24"/>
        </w:rPr>
      </w:pPr>
    </w:p>
    <w:p w:rsidR="002D2797" w:rsidRPr="008E1BE6" w:rsidRDefault="002D2797" w:rsidP="002D2797">
      <w:pPr>
        <w:spacing w:line="480" w:lineRule="auto"/>
        <w:jc w:val="left"/>
        <w:rPr>
          <w:rFonts w:ascii="Times New Roman" w:eastAsia="MS PGothic" w:hAnsi="Times New Roman"/>
          <w:sz w:val="27"/>
          <w:szCs w:val="27"/>
        </w:rPr>
      </w:pPr>
      <w:r w:rsidRPr="008E1BE6">
        <w:rPr>
          <w:rFonts w:ascii="Times New Roman" w:eastAsia="MS PGothic" w:hAnsi="Times New Roman"/>
          <w:b/>
          <w:sz w:val="27"/>
          <w:szCs w:val="27"/>
        </w:rPr>
        <w:t xml:space="preserve">Movie S3 </w:t>
      </w:r>
      <w:r w:rsidRPr="008E1BE6">
        <w:rPr>
          <w:rFonts w:ascii="Times New Roman" w:eastAsia="MS PGothic" w:hAnsi="Times New Roman"/>
          <w:sz w:val="27"/>
          <w:szCs w:val="27"/>
        </w:rPr>
        <w:t xml:space="preserve">Low-magnification video of calcium signaling in CP-AMPAR’s and NMDAR’s response in the hippocampus under HFD with PER condition. </w:t>
      </w:r>
      <w:r w:rsidRPr="008E1BE6">
        <w:rPr>
          <w:rFonts w:ascii="Times New Roman" w:eastAsia="MS PGothic" w:hAnsi="Times New Roman"/>
          <w:sz w:val="24"/>
        </w:rPr>
        <w:t>AMPA (100 μM) and CTZ (100 μM) cocktail was applied 10 min after the start of the video until 15 min. NMDA (50 μM) and glycine (10 μM) cocktail was applied 10 min after the start of the video until 15 min.</w:t>
      </w:r>
      <w:r w:rsidRPr="008E1BE6">
        <w:rPr>
          <w:rFonts w:ascii="Times New Roman" w:eastAsia="MS PGothic" w:hAnsi="Times New Roman"/>
          <w:sz w:val="27"/>
          <w:szCs w:val="27"/>
        </w:rPr>
        <w:t xml:space="preserve"> </w:t>
      </w:r>
      <w:r w:rsidRPr="008E1BE6">
        <w:rPr>
          <w:rFonts w:ascii="Times New Roman" w:eastAsia="MS PGothic" w:hAnsi="Times New Roman"/>
          <w:sz w:val="24"/>
        </w:rPr>
        <w:t>MovieS3-1.mp4: AMPAR’s response under HFD with PER conditions</w:t>
      </w:r>
      <w:r w:rsidRPr="008E1BE6">
        <w:rPr>
          <w:rFonts w:ascii="Times New Roman" w:eastAsia="MS PGothic" w:hAnsi="Times New Roman"/>
          <w:sz w:val="27"/>
          <w:szCs w:val="27"/>
        </w:rPr>
        <w:t xml:space="preserve">. </w:t>
      </w:r>
      <w:r w:rsidRPr="008E1BE6">
        <w:rPr>
          <w:rFonts w:ascii="Times New Roman" w:eastAsia="MS PGothic" w:hAnsi="Times New Roman"/>
          <w:sz w:val="24"/>
        </w:rPr>
        <w:t>MovieS3-2.mp4: NMDAR’s response under HFD with PER conditions</w:t>
      </w: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sz w:val="24"/>
        </w:rPr>
        <w:t>Technical details; Format: MOV</w:t>
      </w:r>
    </w:p>
    <w:p w:rsidR="002D2797" w:rsidRPr="008E1BE6" w:rsidRDefault="002D2797" w:rsidP="002D2797">
      <w:pPr>
        <w:spacing w:line="480" w:lineRule="auto"/>
        <w:jc w:val="left"/>
        <w:rPr>
          <w:rFonts w:ascii="Times New Roman" w:eastAsia="MS PGothic" w:hAnsi="Times New Roman"/>
          <w:sz w:val="24"/>
        </w:rPr>
      </w:pPr>
      <w:r w:rsidRPr="008E1BE6">
        <w:rPr>
          <w:rFonts w:ascii="Times New Roman" w:eastAsia="MS PGothic" w:hAnsi="Times New Roman"/>
          <w:sz w:val="24"/>
        </w:rPr>
        <w:br w:type="page"/>
      </w: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b/>
          <w:sz w:val="24"/>
        </w:rPr>
        <w:lastRenderedPageBreak/>
        <w:t xml:space="preserve">Movie S4 </w:t>
      </w:r>
      <w:r w:rsidRPr="008E1BE6">
        <w:rPr>
          <w:rFonts w:ascii="Times New Roman" w:eastAsia="MS PGothic" w:hAnsi="Times New Roman"/>
          <w:bCs/>
          <w:kern w:val="36"/>
          <w:sz w:val="24"/>
        </w:rPr>
        <w:t xml:space="preserve">Visualizing </w:t>
      </w:r>
      <w:r w:rsidRPr="008E1BE6">
        <w:rPr>
          <w:rFonts w:ascii="Times New Roman" w:hAnsi="Times New Roman"/>
          <w:bCs/>
          <w:sz w:val="24"/>
        </w:rPr>
        <w:t>3D images of CA1 subregion (</w:t>
      </w:r>
      <w:r w:rsidRPr="008E1BE6">
        <w:rPr>
          <w:rFonts w:ascii="Times New Roman" w:hAnsi="Times New Roman"/>
          <w:b/>
          <w:bCs/>
          <w:sz w:val="24"/>
        </w:rPr>
        <w:t>Movie S4</w:t>
      </w:r>
      <w:r w:rsidRPr="008E1BE6">
        <w:rPr>
          <w:rFonts w:ascii="Times New Roman" w:hAnsi="Times New Roman"/>
          <w:bCs/>
          <w:sz w:val="24"/>
        </w:rPr>
        <w:t>), whole hippocampus of Thy1-YFPH transgenic wild type mouse (</w:t>
      </w:r>
      <w:r w:rsidRPr="008E1BE6">
        <w:rPr>
          <w:rFonts w:ascii="Times New Roman" w:hAnsi="Times New Roman"/>
          <w:b/>
          <w:bCs/>
          <w:sz w:val="24"/>
        </w:rPr>
        <w:t>Movie S5</w:t>
      </w:r>
      <w:r w:rsidRPr="008E1BE6">
        <w:rPr>
          <w:rFonts w:ascii="Times New Roman" w:hAnsi="Times New Roman"/>
          <w:bCs/>
          <w:sz w:val="24"/>
        </w:rPr>
        <w:t>) , whole hippocampus of Thy1-YFPH transgenic HFD-fed mouse (</w:t>
      </w:r>
      <w:r w:rsidRPr="008E1BE6">
        <w:rPr>
          <w:rFonts w:ascii="Times New Roman" w:hAnsi="Times New Roman"/>
          <w:b/>
          <w:bCs/>
          <w:sz w:val="24"/>
        </w:rPr>
        <w:t>Movie S6</w:t>
      </w:r>
      <w:r w:rsidRPr="008E1BE6">
        <w:rPr>
          <w:rFonts w:ascii="Times New Roman" w:hAnsi="Times New Roman"/>
          <w:bCs/>
          <w:sz w:val="24"/>
        </w:rPr>
        <w:t>), and HFD-fed with PER mouse</w:t>
      </w:r>
      <w:r w:rsidRPr="008E1BE6">
        <w:rPr>
          <w:rFonts w:ascii="Times New Roman" w:eastAsia="MS PGothic" w:hAnsi="Times New Roman"/>
          <w:bCs/>
          <w:kern w:val="36"/>
          <w:sz w:val="24"/>
        </w:rPr>
        <w:t xml:space="preserve"> (</w:t>
      </w:r>
      <w:r w:rsidRPr="008E1BE6">
        <w:rPr>
          <w:rFonts w:ascii="Times New Roman" w:eastAsia="MS PGothic" w:hAnsi="Times New Roman"/>
          <w:b/>
          <w:bCs/>
          <w:kern w:val="36"/>
          <w:sz w:val="24"/>
        </w:rPr>
        <w:t>Movie S7</w:t>
      </w:r>
      <w:r w:rsidRPr="008E1BE6">
        <w:rPr>
          <w:rFonts w:ascii="Times New Roman" w:eastAsia="MS PGothic" w:hAnsi="Times New Roman"/>
          <w:bCs/>
          <w:kern w:val="36"/>
          <w:sz w:val="24"/>
        </w:rPr>
        <w:t>)</w:t>
      </w:r>
      <w:r w:rsidRPr="008E1BE6">
        <w:rPr>
          <w:rFonts w:ascii="Times New Roman" w:eastAsia="MS PGothic" w:hAnsi="Times New Roman"/>
          <w:sz w:val="24"/>
        </w:rPr>
        <w:t xml:space="preserve">. Movie 4: High-magnification imaging of </w:t>
      </w:r>
      <w:r w:rsidRPr="008E1BE6">
        <w:rPr>
          <w:rFonts w:ascii="Times New Roman" w:hAnsi="Times New Roman"/>
          <w:sz w:val="24"/>
        </w:rPr>
        <w:t>Thy1-YFPH</w:t>
      </w:r>
      <w:r w:rsidRPr="008E1BE6">
        <w:rPr>
          <w:rFonts w:ascii="Times New Roman" w:eastAsia="MS PGothic" w:hAnsi="Times New Roman"/>
          <w:sz w:val="24"/>
        </w:rPr>
        <w:t xml:space="preserve"> positive neurons in the CA1 subregion of CD-fed mouse. Movie 5: High-magnification imaging of </w:t>
      </w:r>
      <w:r w:rsidRPr="008E1BE6">
        <w:rPr>
          <w:rFonts w:ascii="Times New Roman" w:hAnsi="Times New Roman"/>
          <w:sz w:val="24"/>
        </w:rPr>
        <w:t>Thy1-YFPH</w:t>
      </w:r>
      <w:r w:rsidRPr="008E1BE6">
        <w:rPr>
          <w:rFonts w:ascii="Times New Roman" w:eastAsia="MS PGothic" w:hAnsi="Times New Roman"/>
          <w:sz w:val="24"/>
        </w:rPr>
        <w:t xml:space="preserve"> positive neurons in the whole hippocampus of CD-fed mouse. </w:t>
      </w:r>
    </w:p>
    <w:p w:rsidR="002D2797" w:rsidRPr="008E1BE6"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sz w:val="24"/>
        </w:rPr>
        <w:t xml:space="preserve">Movie 6: High-magnification imaging of </w:t>
      </w:r>
      <w:r w:rsidRPr="008E1BE6">
        <w:rPr>
          <w:rFonts w:ascii="Times New Roman" w:hAnsi="Times New Roman"/>
          <w:sz w:val="24"/>
        </w:rPr>
        <w:t>Thy1-YFPH</w:t>
      </w:r>
      <w:r w:rsidRPr="008E1BE6">
        <w:rPr>
          <w:rFonts w:ascii="Times New Roman" w:eastAsia="MS PGothic" w:hAnsi="Times New Roman"/>
          <w:sz w:val="24"/>
        </w:rPr>
        <w:t xml:space="preserve"> positive neurons in the whole hippocampus of HFD-fed mouse.  Movie 7: High-magnification imaging of </w:t>
      </w:r>
      <w:r w:rsidRPr="008E1BE6">
        <w:rPr>
          <w:rFonts w:ascii="Times New Roman" w:hAnsi="Times New Roman"/>
          <w:sz w:val="24"/>
        </w:rPr>
        <w:t>Thy1-YFPH</w:t>
      </w:r>
      <w:r w:rsidRPr="008E1BE6">
        <w:rPr>
          <w:rFonts w:ascii="Times New Roman" w:eastAsia="MS PGothic" w:hAnsi="Times New Roman"/>
          <w:sz w:val="24"/>
        </w:rPr>
        <w:t xml:space="preserve"> positive neurons in the whole hippocampus of HFD-fed </w:t>
      </w:r>
      <w:r w:rsidRPr="008E1BE6">
        <w:rPr>
          <w:rFonts w:ascii="Times New Roman" w:hAnsi="Times New Roman"/>
          <w:sz w:val="24"/>
        </w:rPr>
        <w:t xml:space="preserve">with PER treatment </w:t>
      </w:r>
      <w:r w:rsidRPr="008E1BE6">
        <w:rPr>
          <w:rFonts w:ascii="Times New Roman" w:eastAsia="MS PGothic" w:hAnsi="Times New Roman"/>
          <w:sz w:val="24"/>
        </w:rPr>
        <w:t xml:space="preserve">mouse.  The subregion movie is approximately 5 s while the whole hippocampus is 20~40 s long. </w:t>
      </w:r>
    </w:p>
    <w:p w:rsidR="002D2797" w:rsidRPr="0040611C" w:rsidRDefault="002D2797" w:rsidP="002D2797">
      <w:pPr>
        <w:shd w:val="clear" w:color="auto" w:fill="FFFFFF"/>
        <w:spacing w:before="225" w:after="225" w:line="480" w:lineRule="auto"/>
        <w:jc w:val="left"/>
        <w:rPr>
          <w:rFonts w:ascii="Times New Roman" w:eastAsia="MS PGothic" w:hAnsi="Times New Roman"/>
          <w:sz w:val="24"/>
        </w:rPr>
      </w:pPr>
      <w:r w:rsidRPr="008E1BE6">
        <w:rPr>
          <w:rFonts w:ascii="Times New Roman" w:eastAsia="MS PGothic" w:hAnsi="Times New Roman"/>
          <w:sz w:val="24"/>
        </w:rPr>
        <w:t>Technical details; Format</w:t>
      </w:r>
      <w:r w:rsidRPr="008E1BE6">
        <w:rPr>
          <w:rFonts w:ascii="Times New Roman" w:eastAsia="MS PGothic" w:hAnsi="Times New Roman"/>
          <w:i/>
          <w:iCs/>
          <w:sz w:val="24"/>
        </w:rPr>
        <w:t>:</w:t>
      </w:r>
      <w:r w:rsidRPr="008E1BE6">
        <w:rPr>
          <w:rFonts w:ascii="Times New Roman" w:eastAsia="MS PGothic" w:hAnsi="Times New Roman"/>
          <w:sz w:val="24"/>
        </w:rPr>
        <w:t> MOV</w:t>
      </w:r>
    </w:p>
    <w:p w:rsidR="002D2797" w:rsidRPr="0040611C" w:rsidRDefault="002D2797" w:rsidP="002D2797">
      <w:pPr>
        <w:shd w:val="clear" w:color="auto" w:fill="FFFFFF"/>
        <w:spacing w:before="225" w:after="225" w:line="480" w:lineRule="auto"/>
        <w:jc w:val="left"/>
        <w:rPr>
          <w:rFonts w:ascii="Times New Roman" w:hAnsi="Times New Roman"/>
          <w:b/>
          <w:bCs/>
        </w:rPr>
      </w:pPr>
    </w:p>
    <w:p w:rsidR="002D2797" w:rsidRPr="0040611C" w:rsidRDefault="002D2797" w:rsidP="002D2797">
      <w:pPr>
        <w:spacing w:line="480" w:lineRule="auto"/>
        <w:jc w:val="left"/>
        <w:rPr>
          <w:rFonts w:ascii="Times New Roman" w:hAnsi="Times New Roman"/>
        </w:rPr>
      </w:pPr>
    </w:p>
    <w:p w:rsidR="002D2797" w:rsidRPr="0040611C" w:rsidRDefault="002D2797" w:rsidP="002D2797">
      <w:pPr>
        <w:spacing w:line="480" w:lineRule="auto"/>
        <w:jc w:val="left"/>
        <w:rPr>
          <w:rFonts w:ascii="Times New Roman" w:hAnsi="Times New Roman"/>
          <w:sz w:val="24"/>
        </w:rPr>
      </w:pPr>
    </w:p>
    <w:p w:rsidR="002D2797" w:rsidRPr="0040611C" w:rsidRDefault="002D2797" w:rsidP="002D2797">
      <w:pPr>
        <w:spacing w:line="480" w:lineRule="auto"/>
        <w:jc w:val="left"/>
        <w:rPr>
          <w:rFonts w:ascii="Times New Roman" w:hAnsi="Times New Roman"/>
          <w:sz w:val="24"/>
        </w:rPr>
      </w:pPr>
    </w:p>
    <w:bookmarkEnd w:id="0"/>
    <w:p w:rsidR="00B57F37" w:rsidRDefault="002D2797"/>
    <w:sectPr w:rsidR="00B57F37" w:rsidSect="00A36F0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20609040205080304"/>
    <w:charset w:val="80"/>
    <w:family w:val="roman"/>
    <w:pitch w:val="fixed"/>
    <w:sig w:usb0="E00002FF" w:usb1="6AC7FDFB" w:usb2="00000012" w:usb3="00000000" w:csb0="0002009F" w:csb1="00000000"/>
  </w:font>
  <w:font w:name="Minion Pro">
    <w:altName w:val="ＭＳ 明朝"/>
    <w:panose1 w:val="02040503050306020203"/>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平成明朝">
    <w:altName w:val="MS Gothic"/>
    <w:panose1 w:val="00000000000000000000"/>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797"/>
    <w:rsid w:val="002D2797"/>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7F578-9AAC-4426-AA56-0C991FD2A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2797"/>
    <w:pPr>
      <w:widowControl w:val="0"/>
      <w:spacing w:after="0" w:line="240" w:lineRule="auto"/>
      <w:jc w:val="both"/>
    </w:pPr>
    <w:rPr>
      <w:rFonts w:ascii="Century" w:eastAsia="MS Mincho" w:hAnsi="Century" w:cs="Times New Roman"/>
      <w:kern w:val="2"/>
      <w:sz w:val="21"/>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rsid w:val="002D2797"/>
    <w:pPr>
      <w:widowControl w:val="0"/>
      <w:autoSpaceDE w:val="0"/>
      <w:autoSpaceDN w:val="0"/>
      <w:adjustRightInd w:val="0"/>
      <w:spacing w:after="0" w:line="240" w:lineRule="auto"/>
    </w:pPr>
    <w:rPr>
      <w:rFonts w:ascii="Minion Pro" w:eastAsia="Minion Pro" w:hAnsi="Century" w:cs="Minion Pro"/>
      <w:color w:val="000000"/>
      <w:sz w:val="24"/>
      <w:szCs w:val="24"/>
      <w:lang w:eastAsia="ja-JP"/>
    </w:rPr>
  </w:style>
  <w:style w:type="paragraph" w:styleId="NormalWeb">
    <w:name w:val="Normal (Web)"/>
    <w:basedOn w:val="Normal"/>
    <w:uiPriority w:val="99"/>
    <w:qFormat/>
    <w:rsid w:val="002D2797"/>
    <w:pPr>
      <w:widowControl/>
      <w:jc w:val="left"/>
    </w:pPr>
    <w:rPr>
      <w:rFonts w:ascii="Times New Roman" w:hAnsi="Times New Roman"/>
      <w:kern w:val="0"/>
      <w:sz w:val="24"/>
      <w:lang w:eastAsia="en-US"/>
    </w:rPr>
  </w:style>
  <w:style w:type="table" w:styleId="TableGrid">
    <w:name w:val="Table Grid"/>
    <w:basedOn w:val="TableNormal"/>
    <w:uiPriority w:val="39"/>
    <w:qFormat/>
    <w:rsid w:val="002D2797"/>
    <w:pPr>
      <w:spacing w:after="0" w:line="240" w:lineRule="auto"/>
    </w:pPr>
    <w:rPr>
      <w:rFonts w:eastAsiaTheme="minorEastAsia"/>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qFormat/>
    <w:rsid w:val="002D2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emf"/><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1515</Words>
  <Characters>8642</Characters>
  <Application>Microsoft Office Word</Application>
  <DocSecurity>0</DocSecurity>
  <Lines>72</Lines>
  <Paragraphs>20</Paragraphs>
  <ScaleCrop>false</ScaleCrop>
  <Company>Springer Nature IT</Company>
  <LinksUpToDate>false</LinksUpToDate>
  <CharactersWithSpaces>10137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2021-12-29T15:10:00Z</dcterms:created>
  <dcterms:modified xsi:type="dcterms:W3CDTF">2021-12-29T15:10:00Z</dcterms:modified>
</cp:coreProperties>
</file>