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  <w:r w:rsidRPr="00A4001C">
        <w:rPr>
          <w:rFonts w:asciiTheme="majorBidi" w:hAnsiTheme="majorBidi" w:cstheme="majorBidi"/>
        </w:rPr>
        <w:t>Table S1. Level below rock diagram for research variables.</w:t>
      </w:r>
    </w:p>
    <w:tbl>
      <w:tblPr>
        <w:tblStyle w:val="TableGrid"/>
        <w:tblpPr w:leftFromText="180" w:rightFromText="180" w:vertAnchor="text" w:horzAnchor="margin" w:tblpY="100"/>
        <w:bidiVisual/>
        <w:tblW w:w="0" w:type="auto"/>
        <w:tblLook w:val="04A0" w:firstRow="1" w:lastRow="0" w:firstColumn="1" w:lastColumn="0" w:noHBand="0" w:noVBand="1"/>
      </w:tblPr>
      <w:tblGrid>
        <w:gridCol w:w="2093"/>
        <w:gridCol w:w="2093"/>
      </w:tblGrid>
      <w:tr w:rsidR="00AB2921" w:rsidRPr="00A4001C" w:rsidTr="00971FC7">
        <w:trPr>
          <w:trHeight w:val="509"/>
        </w:trPr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  <w:rtl/>
              </w:rPr>
            </w:pPr>
            <w:r w:rsidRPr="00A4001C">
              <w:rPr>
                <w:rFonts w:asciiTheme="majorBidi" w:hAnsiTheme="majorBidi" w:cstheme="majorBidi"/>
              </w:rPr>
              <w:t>Levels below the chart</w:t>
            </w:r>
          </w:p>
        </w:tc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  <w:rtl/>
              </w:rPr>
            </w:pPr>
            <w:r w:rsidRPr="00A4001C">
              <w:rPr>
                <w:rFonts w:asciiTheme="majorBidi" w:hAnsiTheme="majorBidi" w:cstheme="majorBidi"/>
              </w:rPr>
              <w:t>Tested variables</w:t>
            </w:r>
          </w:p>
        </w:tc>
      </w:tr>
      <w:tr w:rsidR="00AB2921" w:rsidRPr="00A4001C" w:rsidTr="00971FC7">
        <w:trPr>
          <w:trHeight w:val="479"/>
        </w:trPr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0.452</w:t>
            </w:r>
          </w:p>
        </w:tc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RBC</w:t>
            </w:r>
          </w:p>
        </w:tc>
      </w:tr>
      <w:tr w:rsidR="00AB2921" w:rsidRPr="00A4001C" w:rsidTr="00971FC7">
        <w:trPr>
          <w:trHeight w:val="509"/>
        </w:trPr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0.627</w:t>
            </w:r>
          </w:p>
        </w:tc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RDW</w:t>
            </w:r>
          </w:p>
        </w:tc>
      </w:tr>
      <w:tr w:rsidR="00AB2921" w:rsidRPr="00A4001C" w:rsidTr="00971FC7">
        <w:trPr>
          <w:trHeight w:val="479"/>
        </w:trPr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0.902</w:t>
            </w:r>
          </w:p>
        </w:tc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NIHSS</w:t>
            </w:r>
          </w:p>
        </w:tc>
      </w:tr>
      <w:tr w:rsidR="00AB2921" w:rsidRPr="00A4001C" w:rsidTr="00971FC7">
        <w:trPr>
          <w:trHeight w:val="509"/>
        </w:trPr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0.535</w:t>
            </w:r>
          </w:p>
        </w:tc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NLR</w:t>
            </w:r>
          </w:p>
        </w:tc>
      </w:tr>
      <w:tr w:rsidR="00AB2921" w:rsidRPr="00A4001C" w:rsidTr="00971FC7">
        <w:trPr>
          <w:trHeight w:val="479"/>
        </w:trPr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0.682</w:t>
            </w:r>
          </w:p>
        </w:tc>
        <w:tc>
          <w:tcPr>
            <w:tcW w:w="2093" w:type="dxa"/>
          </w:tcPr>
          <w:p w:rsidR="00AB2921" w:rsidRPr="00A4001C" w:rsidRDefault="00AB2921" w:rsidP="00971FC7">
            <w:pPr>
              <w:bidi w:val="0"/>
              <w:rPr>
                <w:rFonts w:asciiTheme="majorBidi" w:hAnsiTheme="majorBidi" w:cstheme="majorBidi"/>
              </w:rPr>
            </w:pPr>
            <w:r w:rsidRPr="00A4001C">
              <w:rPr>
                <w:rFonts w:asciiTheme="majorBidi" w:hAnsiTheme="majorBidi" w:cstheme="majorBidi"/>
              </w:rPr>
              <w:t>NPR</w:t>
            </w:r>
          </w:p>
        </w:tc>
      </w:tr>
    </w:tbl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Style w:val="Emphasis"/>
          <w:rFonts w:asciiTheme="majorBidi" w:hAnsiTheme="majorBidi" w:cstheme="majorBidi"/>
          <w:i w:val="0"/>
          <w:iCs w:val="0"/>
          <w:shd w:val="clear" w:color="auto" w:fill="FFFFFF"/>
        </w:rPr>
      </w:pPr>
      <w:r w:rsidRPr="00A4001C">
        <w:rPr>
          <w:rFonts w:asciiTheme="majorBidi" w:hAnsiTheme="majorBidi" w:cstheme="majorBidi"/>
        </w:rPr>
        <w:t>Abbreviations: RBC: red blood cell; RDW: red cell distribution width; NIHSS</w:t>
      </w:r>
      <w:r w:rsidRPr="00AE1E89">
        <w:rPr>
          <w:rFonts w:asciiTheme="majorBidi" w:hAnsiTheme="majorBidi" w:cstheme="majorBidi"/>
          <w:i/>
          <w:iCs/>
        </w:rPr>
        <w:t>:</w:t>
      </w:r>
      <w:r w:rsidRPr="00AE1E89">
        <w:rPr>
          <w:rFonts w:asciiTheme="majorBidi" w:hAnsiTheme="majorBidi" w:cstheme="majorBidi"/>
          <w:i/>
          <w:iCs/>
          <w:shd w:val="clear" w:color="auto" w:fill="FFFFFF"/>
        </w:rPr>
        <w:t xml:space="preserve"> </w:t>
      </w:r>
      <w:r w:rsidRPr="00AE1E89">
        <w:rPr>
          <w:rStyle w:val="Emphasis"/>
          <w:rFonts w:asciiTheme="majorBidi" w:hAnsiTheme="majorBidi" w:cstheme="majorBidi"/>
          <w:i w:val="0"/>
          <w:iCs w:val="0"/>
          <w:shd w:val="clear" w:color="auto" w:fill="FFFFFF"/>
        </w:rPr>
        <w:t>National Institutes of Health Stroke Scale; NLR: neutrophil to lymphocyte ratio; NPR: neutrophil to platelet ratio</w:t>
      </w:r>
      <w:r w:rsidR="00AE1E89">
        <w:rPr>
          <w:rStyle w:val="Emphasis"/>
          <w:rFonts w:asciiTheme="majorBidi" w:hAnsiTheme="majorBidi" w:cstheme="majorBidi"/>
          <w:i w:val="0"/>
          <w:iCs w:val="0"/>
          <w:shd w:val="clear" w:color="auto" w:fill="FFFFFF"/>
        </w:rPr>
        <w:t>.</w:t>
      </w:r>
      <w:bookmarkStart w:id="0" w:name="_GoBack"/>
      <w:bookmarkEnd w:id="0"/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  <w:r w:rsidRPr="00A4001C">
        <w:rPr>
          <w:rFonts w:asciiTheme="majorBidi" w:hAnsiTheme="majorBidi" w:cstheme="majorBidi"/>
          <w:rtl/>
        </w:rPr>
        <w:br w:type="page"/>
      </w: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  <w:r w:rsidRPr="00A4001C">
        <w:rPr>
          <w:rFonts w:asciiTheme="majorBidi" w:hAnsiTheme="majorBidi" w:cstheme="majorBidi"/>
          <w:noProof/>
          <w:rtl/>
          <w:lang w:bidi="ar-SA"/>
        </w:rPr>
        <w:drawing>
          <wp:inline distT="0" distB="0" distL="0" distR="0" wp14:anchorId="67C05A2F" wp14:editId="5950B7E1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AB2921" w:rsidRPr="00A4001C" w:rsidRDefault="00AB2921" w:rsidP="00AB2921">
      <w:pPr>
        <w:bidi w:val="0"/>
        <w:rPr>
          <w:rFonts w:asciiTheme="majorBidi" w:hAnsiTheme="majorBidi" w:cstheme="majorBidi"/>
        </w:rPr>
      </w:pPr>
      <w:r w:rsidRPr="00A4001C">
        <w:rPr>
          <w:rFonts w:asciiTheme="majorBidi" w:hAnsiTheme="majorBidi" w:cstheme="majorBidi"/>
        </w:rPr>
        <w:t>Figure S1. Evaluation of mean variables by patient's final prognosis</w:t>
      </w:r>
    </w:p>
    <w:p w:rsidR="00AB2921" w:rsidRPr="00A4001C" w:rsidRDefault="00AB2921" w:rsidP="00AB2921">
      <w:pPr>
        <w:bidi w:val="0"/>
        <w:rPr>
          <w:rFonts w:asciiTheme="majorBidi" w:hAnsiTheme="majorBidi" w:cstheme="majorBidi"/>
          <w:rtl/>
        </w:rPr>
      </w:pPr>
      <w:r w:rsidRPr="00A4001C">
        <w:rPr>
          <w:rFonts w:asciiTheme="majorBidi" w:hAnsiTheme="majorBidi" w:cstheme="majorBidi"/>
        </w:rPr>
        <w:t xml:space="preserve">Abbreviations: WBC: white blood cell; RBC: red blood cell; MCHC: mean corpuscular hemoglobin concentration; RDW: red cell distribution width; </w:t>
      </w:r>
      <w:r w:rsidRPr="00AB2921">
        <w:rPr>
          <w:rFonts w:asciiTheme="majorBidi" w:hAnsiTheme="majorBidi" w:cstheme="majorBidi"/>
        </w:rPr>
        <w:t>NIHSS:</w:t>
      </w:r>
      <w:r w:rsidRPr="00AB2921">
        <w:rPr>
          <w:rFonts w:asciiTheme="majorBidi" w:hAnsiTheme="majorBidi" w:cstheme="majorBidi"/>
          <w:shd w:val="clear" w:color="auto" w:fill="FFFFFF"/>
        </w:rPr>
        <w:t xml:space="preserve"> </w:t>
      </w:r>
      <w:r w:rsidRPr="00AB2921">
        <w:rPr>
          <w:rStyle w:val="Emphasis"/>
          <w:rFonts w:asciiTheme="majorBidi" w:hAnsiTheme="majorBidi" w:cstheme="majorBidi"/>
          <w:i w:val="0"/>
          <w:iCs w:val="0"/>
          <w:shd w:val="clear" w:color="auto" w:fill="FFFFFF"/>
        </w:rPr>
        <w:t>National Institutes of Health Stroke Scale; NLR: neutrophil to lymphocyte ratio; NPR: neutrophil to platelet ratio.</w:t>
      </w:r>
    </w:p>
    <w:p w:rsidR="00890FE9" w:rsidRDefault="00890FE9" w:rsidP="00AB2921">
      <w:pPr>
        <w:bidi w:val="0"/>
      </w:pPr>
    </w:p>
    <w:sectPr w:rsidR="00890FE9" w:rsidSect="00D137B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921"/>
    <w:rsid w:val="00890FE9"/>
    <w:rsid w:val="00AB2921"/>
    <w:rsid w:val="00AE1E89"/>
    <w:rsid w:val="00B4245D"/>
    <w:rsid w:val="00D5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A8279"/>
  <w15:chartTrackingRefBased/>
  <w15:docId w15:val="{E32DEDAE-3081-4891-8432-6FA0F620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2921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4B82"/>
    <w:pPr>
      <w:bidi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AB2921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AB29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alive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Sheet1!$A$2:$A$13</c:f>
              <c:strCache>
                <c:ptCount val="12"/>
                <c:pt idx="0">
                  <c:v>NLR</c:v>
                </c:pt>
                <c:pt idx="1">
                  <c:v>NPR</c:v>
                </c:pt>
                <c:pt idx="2">
                  <c:v>RDW</c:v>
                </c:pt>
                <c:pt idx="3">
                  <c:v>NIHSS</c:v>
                </c:pt>
                <c:pt idx="4">
                  <c:v>platelet</c:v>
                </c:pt>
                <c:pt idx="5">
                  <c:v>MCHC</c:v>
                </c:pt>
                <c:pt idx="6">
                  <c:v>RBC</c:v>
                </c:pt>
                <c:pt idx="7">
                  <c:v>WBC</c:v>
                </c:pt>
                <c:pt idx="8">
                  <c:v>lymphocye</c:v>
                </c:pt>
                <c:pt idx="9">
                  <c:v>neutrophil</c:v>
                </c:pt>
                <c:pt idx="10">
                  <c:v>hemoglobin</c:v>
                </c:pt>
                <c:pt idx="11">
                  <c:v>hematocrit</c:v>
                </c:pt>
              </c:strCache>
            </c:strRef>
          </c:cat>
          <c:val>
            <c:numRef>
              <c:f>Sheet1!$B$2:$B$13</c:f>
              <c:numCache>
                <c:formatCode>General</c:formatCode>
                <c:ptCount val="12"/>
                <c:pt idx="0">
                  <c:v>7.44</c:v>
                </c:pt>
                <c:pt idx="1">
                  <c:v>0.05</c:v>
                </c:pt>
                <c:pt idx="2">
                  <c:v>13.87</c:v>
                </c:pt>
                <c:pt idx="3">
                  <c:v>7.83</c:v>
                </c:pt>
                <c:pt idx="4">
                  <c:v>219.64</c:v>
                </c:pt>
                <c:pt idx="5">
                  <c:v>32.049999999999997</c:v>
                </c:pt>
                <c:pt idx="6">
                  <c:v>4.8099999999999996</c:v>
                </c:pt>
                <c:pt idx="7">
                  <c:v>11.08</c:v>
                </c:pt>
                <c:pt idx="8">
                  <c:v>16.97</c:v>
                </c:pt>
                <c:pt idx="9">
                  <c:v>75.81</c:v>
                </c:pt>
                <c:pt idx="10">
                  <c:v>14.01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A53-4550-8F5D-2C35A86791C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dead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Sheet1!$A$2:$A$13</c:f>
              <c:strCache>
                <c:ptCount val="12"/>
                <c:pt idx="0">
                  <c:v>NLR</c:v>
                </c:pt>
                <c:pt idx="1">
                  <c:v>NPR</c:v>
                </c:pt>
                <c:pt idx="2">
                  <c:v>RDW</c:v>
                </c:pt>
                <c:pt idx="3">
                  <c:v>NIHSS</c:v>
                </c:pt>
                <c:pt idx="4">
                  <c:v>platelet</c:v>
                </c:pt>
                <c:pt idx="5">
                  <c:v>MCHC</c:v>
                </c:pt>
                <c:pt idx="6">
                  <c:v>RBC</c:v>
                </c:pt>
                <c:pt idx="7">
                  <c:v>WBC</c:v>
                </c:pt>
                <c:pt idx="8">
                  <c:v>lymphocye</c:v>
                </c:pt>
                <c:pt idx="9">
                  <c:v>neutrophil</c:v>
                </c:pt>
                <c:pt idx="10">
                  <c:v>hemoglobin</c:v>
                </c:pt>
                <c:pt idx="11">
                  <c:v>hematocrit</c:v>
                </c:pt>
              </c:strCache>
            </c:strRef>
          </c:cat>
          <c:val>
            <c:numRef>
              <c:f>Sheet1!$C$2:$C$13</c:f>
              <c:numCache>
                <c:formatCode>General</c:formatCode>
                <c:ptCount val="12"/>
                <c:pt idx="0">
                  <c:v>9.43</c:v>
                </c:pt>
                <c:pt idx="1">
                  <c:v>0.06</c:v>
                </c:pt>
                <c:pt idx="2">
                  <c:v>14.37</c:v>
                </c:pt>
                <c:pt idx="3">
                  <c:v>27.56</c:v>
                </c:pt>
                <c:pt idx="4">
                  <c:v>241.93</c:v>
                </c:pt>
                <c:pt idx="5">
                  <c:v>32.14</c:v>
                </c:pt>
                <c:pt idx="6">
                  <c:v>4.5999999999999996</c:v>
                </c:pt>
                <c:pt idx="7">
                  <c:v>12.42</c:v>
                </c:pt>
                <c:pt idx="8">
                  <c:v>13.85</c:v>
                </c:pt>
                <c:pt idx="9">
                  <c:v>80.7</c:v>
                </c:pt>
                <c:pt idx="10">
                  <c:v>13.48</c:v>
                </c:pt>
                <c:pt idx="11">
                  <c:v>41.78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A53-4550-8F5D-2C35A86791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0022368"/>
        <c:axId val="300022760"/>
      </c:barChart>
      <c:catAx>
        <c:axId val="3000223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0022760"/>
        <c:crosses val="autoZero"/>
        <c:auto val="1"/>
        <c:lblAlgn val="ctr"/>
        <c:lblOffset val="100"/>
        <c:noMultiLvlLbl val="0"/>
      </c:catAx>
      <c:valAx>
        <c:axId val="300022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0022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 Nejadghaderi</dc:creator>
  <cp:keywords/>
  <dc:description/>
  <cp:lastModifiedBy>Aria Nejadghaderi</cp:lastModifiedBy>
  <cp:revision>2</cp:revision>
  <dcterms:created xsi:type="dcterms:W3CDTF">2021-09-12T07:03:00Z</dcterms:created>
  <dcterms:modified xsi:type="dcterms:W3CDTF">2021-09-12T07:03:00Z</dcterms:modified>
</cp:coreProperties>
</file>