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A89122" w14:textId="77777777" w:rsidR="00611B62" w:rsidRPr="0073487B" w:rsidRDefault="00611B62" w:rsidP="00611B62">
      <w:pPr>
        <w:spacing w:before="240" w:after="60"/>
        <w:rPr>
          <w:rFonts w:ascii="Arial" w:hAnsi="Arial" w:cs="Arial"/>
          <w:b/>
          <w:bCs/>
          <w:sz w:val="20"/>
        </w:rPr>
      </w:pPr>
      <w:r w:rsidRPr="0073487B">
        <w:rPr>
          <w:rFonts w:ascii="Arial" w:hAnsi="Arial" w:cs="Arial"/>
          <w:b/>
          <w:bCs/>
          <w:sz w:val="20"/>
        </w:rPr>
        <w:t>SI Text 1</w:t>
      </w:r>
    </w:p>
    <w:p w14:paraId="3AD483FE" w14:textId="77777777" w:rsidR="00611B62" w:rsidRPr="00D62C7A" w:rsidRDefault="00611B62" w:rsidP="00611B62">
      <w:pPr>
        <w:pStyle w:val="BodyText"/>
        <w:spacing w:before="1"/>
        <w:ind w:right="915"/>
        <w:rPr>
          <w:rFonts w:ascii="Arial" w:hAnsi="Arial" w:cs="Arial"/>
          <w:color w:val="000000" w:themeColor="text1"/>
          <w:sz w:val="20"/>
          <w:szCs w:val="16"/>
        </w:rPr>
      </w:pPr>
      <w:r>
        <w:rPr>
          <w:rFonts w:ascii="Arial" w:hAnsi="Arial" w:cs="Arial"/>
          <w:sz w:val="20"/>
          <w:szCs w:val="16"/>
        </w:rPr>
        <w:t>Since</w:t>
      </w:r>
      <w:r w:rsidRPr="004E58AE">
        <w:rPr>
          <w:rFonts w:ascii="Arial" w:hAnsi="Arial" w:cs="Arial"/>
          <w:sz w:val="20"/>
          <w:szCs w:val="16"/>
        </w:rPr>
        <w:t xml:space="preserve"> the evolution of bet-hedging is contingent on the existence of fitness trade-offs, we explored the trade-off between heat shock tolerance and growth under benign conditions. </w:t>
      </w:r>
      <w:r w:rsidRPr="004E58AE">
        <w:rPr>
          <w:rFonts w:ascii="Arial" w:hAnsi="Arial" w:cs="Arial"/>
          <w:color w:val="000000" w:themeColor="text1"/>
          <w:sz w:val="20"/>
          <w:szCs w:val="16"/>
        </w:rPr>
        <w:t xml:space="preserve">We asked if thermotolerance that evolved in response to heat shocks also exhibits a trade-off in fitness at ancestral temperatures. To test this, the isolate from the 40 °C evolution regime (T1) was further evolved in a regime consisting of frequent 54°C heat shocks (once every ~8 generations) for ~100 generations. Following this, one strain was isolated (Iso-1) and characterized for heat shock tolerance and relative fitness at 30°C. </w:t>
      </w:r>
      <w:r>
        <w:rPr>
          <w:rFonts w:ascii="Arial" w:hAnsi="Arial" w:cs="Arial"/>
          <w:color w:val="000000" w:themeColor="text1"/>
          <w:sz w:val="20"/>
          <w:szCs w:val="16"/>
        </w:rPr>
        <w:t>We found that evolution in the heat shock regime resulted in increased heat shock tolerance (df=1, MS=4489, F</w:t>
      </w:r>
      <w:r>
        <w:rPr>
          <w:rFonts w:ascii="Arial" w:hAnsi="Arial" w:cs="Arial"/>
          <w:color w:val="000000" w:themeColor="text1"/>
          <w:sz w:val="20"/>
          <w:szCs w:val="16"/>
          <w:vertAlign w:val="subscript"/>
        </w:rPr>
        <w:t>1,10</w:t>
      </w:r>
      <w:r>
        <w:rPr>
          <w:rFonts w:ascii="Arial" w:hAnsi="Arial" w:cs="Arial"/>
          <w:color w:val="000000" w:themeColor="text1"/>
          <w:sz w:val="20"/>
          <w:szCs w:val="16"/>
        </w:rPr>
        <w:t>=56.84, p &lt; 0.001) in the Iso-1 strain relative to the T1 ancestor (Supplementary Figure S1.A). The Iso-1 strain also had a lower fitness under benign conditions relative to the T1 ancestor (Supplementary Figure S1.B) (df=1, MS=0.043, F</w:t>
      </w:r>
      <w:r>
        <w:rPr>
          <w:rFonts w:ascii="Arial" w:hAnsi="Arial" w:cs="Arial"/>
          <w:color w:val="000000" w:themeColor="text1"/>
          <w:sz w:val="20"/>
          <w:szCs w:val="16"/>
          <w:vertAlign w:val="subscript"/>
        </w:rPr>
        <w:t>1,4</w:t>
      </w:r>
      <w:r>
        <w:rPr>
          <w:rFonts w:ascii="Arial" w:hAnsi="Arial" w:cs="Arial"/>
          <w:color w:val="000000" w:themeColor="text1"/>
          <w:sz w:val="20"/>
          <w:szCs w:val="16"/>
        </w:rPr>
        <w:t xml:space="preserve">=120.6, p &lt; 0.001). </w:t>
      </w:r>
      <w:r w:rsidRPr="004E58AE">
        <w:rPr>
          <w:rFonts w:ascii="Arial" w:hAnsi="Arial" w:cs="Arial"/>
          <w:color w:val="000000" w:themeColor="text1"/>
          <w:sz w:val="20"/>
          <w:szCs w:val="16"/>
        </w:rPr>
        <w:t>Note that both heat shock tolerance evolution and trait assays were performed in YPD media which differs from the SCM used in the study. While heat shock tolerance was higher in YPD than in SCM, we assume that genotype-environment interactions between yeast strains and media do not influence the rank order of the traits being assayed.</w:t>
      </w:r>
      <w:r>
        <w:rPr>
          <w:rFonts w:ascii="Arial" w:hAnsi="Arial" w:cs="Arial"/>
          <w:color w:val="000000" w:themeColor="text1"/>
          <w:sz w:val="20"/>
          <w:szCs w:val="16"/>
        </w:rPr>
        <w:t xml:space="preserve"> </w:t>
      </w:r>
    </w:p>
    <w:p w14:paraId="05D87B6C" w14:textId="77777777" w:rsidR="00611B62" w:rsidRPr="00DC623A" w:rsidRDefault="00611B62" w:rsidP="00611B62">
      <w:pPr>
        <w:pStyle w:val="SMHeading"/>
        <w:rPr>
          <w:rFonts w:ascii="Arial" w:hAnsi="Arial" w:cs="Arial"/>
          <w:sz w:val="20"/>
          <w:szCs w:val="20"/>
        </w:rPr>
      </w:pPr>
      <w:r>
        <w:rPr>
          <w:rFonts w:ascii="Arial" w:hAnsi="Arial" w:cs="Arial"/>
          <w:sz w:val="20"/>
          <w:szCs w:val="20"/>
        </w:rPr>
        <w:t>SI Text 2</w:t>
      </w:r>
    </w:p>
    <w:p w14:paraId="5D039C80" w14:textId="77777777" w:rsidR="00611B62" w:rsidRDefault="00611B62" w:rsidP="00611B62">
      <w:pPr>
        <w:rPr>
          <w:rFonts w:ascii="Arial" w:hAnsi="Arial" w:cs="Arial"/>
          <w:sz w:val="20"/>
          <w:szCs w:val="16"/>
        </w:rPr>
      </w:pPr>
      <w:r w:rsidRPr="004E58AE">
        <w:rPr>
          <w:rFonts w:ascii="Arial" w:hAnsi="Arial" w:cs="Arial"/>
          <w:sz w:val="20"/>
          <w:szCs w:val="16"/>
        </w:rPr>
        <w:t xml:space="preserve">Given that </w:t>
      </w:r>
      <w:r w:rsidRPr="004E58AE">
        <w:rPr>
          <w:rFonts w:ascii="Arial" w:hAnsi="Arial" w:cs="Arial"/>
          <w:i/>
          <w:iCs/>
          <w:sz w:val="20"/>
          <w:szCs w:val="16"/>
        </w:rPr>
        <w:t xml:space="preserve">p </w:t>
      </w:r>
      <w:r w:rsidRPr="004E58AE">
        <w:rPr>
          <w:rFonts w:ascii="Arial" w:hAnsi="Arial" w:cs="Arial"/>
          <w:sz w:val="20"/>
          <w:szCs w:val="16"/>
        </w:rPr>
        <w:t xml:space="preserve">is the probability of an event, the probability </w:t>
      </w:r>
      <w:r w:rsidRPr="004E58AE">
        <w:rPr>
          <w:rFonts w:ascii="Arial" w:hAnsi="Arial" w:cs="Arial"/>
          <w:i/>
          <w:sz w:val="20"/>
          <w:szCs w:val="16"/>
        </w:rPr>
        <w:t>P</w:t>
      </w:r>
      <w:r w:rsidRPr="004E58AE">
        <w:rPr>
          <w:rFonts w:ascii="Arial" w:hAnsi="Arial" w:cs="Arial"/>
          <w:i/>
          <w:sz w:val="20"/>
          <w:szCs w:val="16"/>
          <w:vertAlign w:val="subscript"/>
        </w:rPr>
        <w:t xml:space="preserve">k </w:t>
      </w:r>
      <w:r w:rsidRPr="004E58AE">
        <w:rPr>
          <w:rFonts w:ascii="Arial" w:hAnsi="Arial" w:cs="Arial"/>
          <w:sz w:val="20"/>
          <w:szCs w:val="16"/>
        </w:rPr>
        <w:t xml:space="preserve">of observing k or more occurrences of the same event over </w:t>
      </w:r>
      <w:proofErr w:type="spellStart"/>
      <w:r w:rsidRPr="004E58AE">
        <w:rPr>
          <w:rFonts w:ascii="Arial" w:hAnsi="Arial" w:cs="Arial"/>
          <w:i/>
          <w:iCs/>
          <w:sz w:val="20"/>
          <w:szCs w:val="16"/>
        </w:rPr>
        <w:t>n</w:t>
      </w:r>
      <w:proofErr w:type="spellEnd"/>
      <w:r w:rsidRPr="004E58AE">
        <w:rPr>
          <w:rFonts w:ascii="Arial" w:hAnsi="Arial" w:cs="Arial"/>
          <w:i/>
          <w:iCs/>
          <w:sz w:val="20"/>
          <w:szCs w:val="16"/>
        </w:rPr>
        <w:t xml:space="preserve"> </w:t>
      </w:r>
      <w:r w:rsidRPr="004E58AE">
        <w:rPr>
          <w:rFonts w:ascii="Arial" w:hAnsi="Arial" w:cs="Arial"/>
          <w:sz w:val="20"/>
          <w:szCs w:val="16"/>
        </w:rPr>
        <w:t>independent events is:</w:t>
      </w:r>
    </w:p>
    <w:p w14:paraId="6E97B22A" w14:textId="77777777" w:rsidR="00611B62" w:rsidRPr="004E58AE" w:rsidRDefault="00611B62" w:rsidP="00611B62">
      <w:pPr>
        <w:rPr>
          <w:rFonts w:ascii="Arial" w:hAnsi="Arial" w:cs="Arial"/>
          <w:sz w:val="20"/>
          <w:szCs w:val="16"/>
        </w:rPr>
      </w:pPr>
    </w:p>
    <w:p w14:paraId="4C9AE307" w14:textId="77777777" w:rsidR="00611B62" w:rsidRPr="004E58AE" w:rsidRDefault="00611B62" w:rsidP="00611B62">
      <w:pPr>
        <w:rPr>
          <w:rFonts w:ascii="Arial" w:hAnsi="Arial" w:cs="Arial"/>
          <w:sz w:val="20"/>
          <w:szCs w:val="16"/>
        </w:rPr>
      </w:pPr>
      <w:r w:rsidRPr="004E58AE">
        <w:rPr>
          <w:rFonts w:ascii="Arial" w:eastAsia="MS Mincho" w:hAnsi="Arial" w:cs="Arial"/>
          <w:position w:val="-28"/>
          <w:sz w:val="20"/>
        </w:rPr>
        <w:object w:dxaOrig="2500" w:dyaOrig="660" w14:anchorId="26901CA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5pt;height:33pt" o:ole="">
            <v:imagedata r:id="rId6" o:title=""/>
          </v:shape>
          <o:OLEObject Type="Embed" ProgID="Equation.3" ShapeID="_x0000_i1025" DrawAspect="Content" ObjectID="_1701795559" r:id="rId7"/>
        </w:object>
      </w:r>
      <w:r w:rsidRPr="004E58AE">
        <w:rPr>
          <w:rFonts w:ascii="Arial" w:hAnsi="Arial" w:cs="Arial"/>
          <w:sz w:val="20"/>
          <w:szCs w:val="16"/>
        </w:rPr>
        <w:t>.</w:t>
      </w:r>
    </w:p>
    <w:p w14:paraId="6D04616D" w14:textId="77777777" w:rsidR="00611B62" w:rsidRPr="004E58AE" w:rsidRDefault="00611B62" w:rsidP="00611B62">
      <w:pPr>
        <w:rPr>
          <w:rFonts w:ascii="Arial" w:hAnsi="Arial" w:cs="Arial"/>
          <w:sz w:val="20"/>
          <w:szCs w:val="16"/>
        </w:rPr>
      </w:pPr>
    </w:p>
    <w:p w14:paraId="5C1A834A" w14:textId="77777777" w:rsidR="00611B62" w:rsidRDefault="00611B62" w:rsidP="00611B62">
      <w:pPr>
        <w:rPr>
          <w:rFonts w:ascii="Arial" w:hAnsi="Arial" w:cs="Arial"/>
          <w:sz w:val="20"/>
          <w:szCs w:val="16"/>
        </w:rPr>
      </w:pPr>
      <w:r>
        <w:rPr>
          <w:rFonts w:ascii="Arial" w:hAnsi="Arial" w:cs="Arial"/>
          <w:sz w:val="20"/>
          <w:szCs w:val="16"/>
        </w:rPr>
        <w:t xml:space="preserve">This can be </w:t>
      </w:r>
      <w:r w:rsidRPr="004E58AE">
        <w:rPr>
          <w:rFonts w:ascii="Arial" w:hAnsi="Arial" w:cs="Arial"/>
          <w:sz w:val="20"/>
          <w:szCs w:val="16"/>
        </w:rPr>
        <w:t xml:space="preserve">used to test the statistical null hypothesis of no relationship between differing evolutionary histories and the retention of fitness under </w:t>
      </w:r>
      <w:r>
        <w:rPr>
          <w:rFonts w:ascii="Arial" w:hAnsi="Arial" w:cs="Arial"/>
          <w:sz w:val="20"/>
          <w:szCs w:val="16"/>
        </w:rPr>
        <w:t>benign</w:t>
      </w:r>
      <w:r w:rsidRPr="004E58AE">
        <w:rPr>
          <w:rFonts w:ascii="Arial" w:hAnsi="Arial" w:cs="Arial"/>
          <w:sz w:val="20"/>
          <w:szCs w:val="16"/>
        </w:rPr>
        <w:t xml:space="preserve"> conditions for the 8 replicate lines used in the selection experiment. The probability of observing 7 or more positive slopes </w:t>
      </w:r>
      <w:r>
        <w:rPr>
          <w:rFonts w:ascii="Arial" w:hAnsi="Arial" w:cs="Arial"/>
          <w:sz w:val="20"/>
          <w:szCs w:val="16"/>
        </w:rPr>
        <w:t xml:space="preserve">out </w:t>
      </w:r>
      <w:r w:rsidRPr="004E58AE">
        <w:rPr>
          <w:rFonts w:ascii="Arial" w:hAnsi="Arial" w:cs="Arial"/>
          <w:sz w:val="20"/>
          <w:szCs w:val="16"/>
        </w:rPr>
        <w:t xml:space="preserve">of 8 for the retention of fitness under benign conditions in lines from </w:t>
      </w:r>
      <w:proofErr w:type="spellStart"/>
      <w:r w:rsidRPr="004E58AE">
        <w:rPr>
          <w:rFonts w:ascii="Arial" w:hAnsi="Arial" w:cs="Arial"/>
          <w:sz w:val="20"/>
          <w:szCs w:val="16"/>
        </w:rPr>
        <w:t>EoR</w:t>
      </w:r>
      <w:proofErr w:type="spellEnd"/>
      <w:r w:rsidRPr="004E58AE">
        <w:rPr>
          <w:rFonts w:ascii="Arial" w:hAnsi="Arial" w:cs="Arial"/>
          <w:sz w:val="20"/>
          <w:szCs w:val="16"/>
        </w:rPr>
        <w:t xml:space="preserve">-A is given by </w:t>
      </w:r>
      <w:r w:rsidRPr="004E58AE">
        <w:rPr>
          <w:rFonts w:ascii="Arial" w:hAnsi="Arial" w:cs="Arial"/>
          <w:i/>
          <w:sz w:val="20"/>
          <w:szCs w:val="16"/>
        </w:rPr>
        <w:t>P</w:t>
      </w:r>
      <w:r w:rsidRPr="004E58AE">
        <w:rPr>
          <w:rFonts w:ascii="Arial" w:hAnsi="Arial" w:cs="Arial"/>
          <w:sz w:val="20"/>
          <w:szCs w:val="16"/>
          <w:vertAlign w:val="subscript"/>
        </w:rPr>
        <w:t>7</w:t>
      </w:r>
      <w:r w:rsidRPr="004E58AE">
        <w:rPr>
          <w:rFonts w:ascii="Arial" w:hAnsi="Arial" w:cs="Arial"/>
          <w:sz w:val="20"/>
          <w:szCs w:val="16"/>
        </w:rPr>
        <w:t xml:space="preserve"> + </w:t>
      </w:r>
      <w:r w:rsidRPr="004E58AE">
        <w:rPr>
          <w:rFonts w:ascii="Arial" w:hAnsi="Arial" w:cs="Arial"/>
          <w:i/>
          <w:sz w:val="20"/>
          <w:szCs w:val="16"/>
        </w:rPr>
        <w:t>P</w:t>
      </w:r>
      <w:r w:rsidRPr="004E58AE">
        <w:rPr>
          <w:rFonts w:ascii="Arial" w:hAnsi="Arial" w:cs="Arial"/>
          <w:sz w:val="20"/>
          <w:szCs w:val="16"/>
          <w:vertAlign w:val="subscript"/>
        </w:rPr>
        <w:t>8</w:t>
      </w:r>
      <w:r w:rsidRPr="004E58AE">
        <w:rPr>
          <w:rFonts w:ascii="Arial" w:hAnsi="Arial" w:cs="Arial"/>
          <w:sz w:val="20"/>
          <w:szCs w:val="16"/>
        </w:rPr>
        <w:t xml:space="preserve"> = 0.0352, and the observation of 5 positive slopes of 8 for the retention of fitness under benign conditions in lines from </w:t>
      </w:r>
      <w:proofErr w:type="spellStart"/>
      <w:r w:rsidRPr="004E58AE">
        <w:rPr>
          <w:rFonts w:ascii="Arial" w:hAnsi="Arial" w:cs="Arial"/>
          <w:sz w:val="20"/>
          <w:szCs w:val="16"/>
        </w:rPr>
        <w:t>EoR</w:t>
      </w:r>
      <w:proofErr w:type="spellEnd"/>
      <w:r w:rsidRPr="004E58AE">
        <w:rPr>
          <w:rFonts w:ascii="Arial" w:hAnsi="Arial" w:cs="Arial"/>
          <w:sz w:val="20"/>
          <w:szCs w:val="16"/>
        </w:rPr>
        <w:t xml:space="preserve">-B is given by </w:t>
      </w:r>
      <w:r w:rsidRPr="004E58AE">
        <w:rPr>
          <w:rFonts w:ascii="Arial" w:hAnsi="Arial" w:cs="Arial"/>
          <w:i/>
          <w:sz w:val="20"/>
          <w:szCs w:val="16"/>
        </w:rPr>
        <w:t>P</w:t>
      </w:r>
      <w:r w:rsidRPr="004E58AE">
        <w:rPr>
          <w:rFonts w:ascii="Arial" w:hAnsi="Arial" w:cs="Arial"/>
          <w:sz w:val="20"/>
          <w:szCs w:val="16"/>
          <w:vertAlign w:val="subscript"/>
        </w:rPr>
        <w:t>5</w:t>
      </w:r>
      <w:r w:rsidRPr="004E58AE">
        <w:rPr>
          <w:rFonts w:ascii="Arial" w:hAnsi="Arial" w:cs="Arial"/>
          <w:sz w:val="20"/>
          <w:szCs w:val="16"/>
        </w:rPr>
        <w:t xml:space="preserve"> + </w:t>
      </w:r>
      <w:r w:rsidRPr="004E58AE">
        <w:rPr>
          <w:rFonts w:ascii="Arial" w:hAnsi="Arial" w:cs="Arial"/>
          <w:i/>
          <w:sz w:val="20"/>
          <w:szCs w:val="16"/>
        </w:rPr>
        <w:t>P</w:t>
      </w:r>
      <w:r w:rsidRPr="004E58AE">
        <w:rPr>
          <w:rFonts w:ascii="Arial" w:hAnsi="Arial" w:cs="Arial"/>
          <w:sz w:val="20"/>
          <w:szCs w:val="16"/>
          <w:vertAlign w:val="subscript"/>
        </w:rPr>
        <w:t>6</w:t>
      </w:r>
      <w:r w:rsidRPr="004E58AE">
        <w:rPr>
          <w:rFonts w:ascii="Arial" w:hAnsi="Arial" w:cs="Arial"/>
          <w:sz w:val="20"/>
          <w:szCs w:val="16"/>
        </w:rPr>
        <w:t xml:space="preserve">+ </w:t>
      </w:r>
      <w:r w:rsidRPr="004E58AE">
        <w:rPr>
          <w:rFonts w:ascii="Arial" w:hAnsi="Arial" w:cs="Arial"/>
          <w:i/>
          <w:sz w:val="20"/>
          <w:szCs w:val="16"/>
        </w:rPr>
        <w:t>P</w:t>
      </w:r>
      <w:r w:rsidRPr="004E58AE">
        <w:rPr>
          <w:rFonts w:ascii="Arial" w:hAnsi="Arial" w:cs="Arial"/>
          <w:sz w:val="20"/>
          <w:szCs w:val="16"/>
          <w:vertAlign w:val="subscript"/>
        </w:rPr>
        <w:t>7</w:t>
      </w:r>
      <w:r w:rsidRPr="004E58AE">
        <w:rPr>
          <w:rFonts w:ascii="Arial" w:hAnsi="Arial" w:cs="Arial"/>
          <w:sz w:val="20"/>
          <w:szCs w:val="16"/>
        </w:rPr>
        <w:t xml:space="preserve"> + </w:t>
      </w:r>
      <w:r w:rsidRPr="004E58AE">
        <w:rPr>
          <w:rFonts w:ascii="Arial" w:hAnsi="Arial" w:cs="Arial"/>
          <w:i/>
          <w:sz w:val="20"/>
          <w:szCs w:val="16"/>
        </w:rPr>
        <w:t>P</w:t>
      </w:r>
      <w:r w:rsidRPr="004E58AE">
        <w:rPr>
          <w:rFonts w:ascii="Arial" w:hAnsi="Arial" w:cs="Arial"/>
          <w:sz w:val="20"/>
          <w:szCs w:val="16"/>
          <w:vertAlign w:val="subscript"/>
        </w:rPr>
        <w:t>8</w:t>
      </w:r>
      <w:r w:rsidRPr="004E58AE">
        <w:rPr>
          <w:rFonts w:ascii="Arial" w:hAnsi="Arial" w:cs="Arial"/>
          <w:sz w:val="20"/>
          <w:szCs w:val="16"/>
        </w:rPr>
        <w:t xml:space="preserve"> = 0.363. </w:t>
      </w:r>
    </w:p>
    <w:p w14:paraId="002B8EEB" w14:textId="77777777" w:rsidR="00611B62" w:rsidRDefault="00611B62" w:rsidP="00611B62">
      <w:pPr>
        <w:rPr>
          <w:rFonts w:ascii="Arial" w:hAnsi="Arial" w:cs="Arial"/>
          <w:sz w:val="20"/>
          <w:szCs w:val="16"/>
        </w:rPr>
      </w:pPr>
    </w:p>
    <w:p w14:paraId="22168977" w14:textId="77777777" w:rsidR="00611B62" w:rsidRDefault="00611B62" w:rsidP="00611B62">
      <w:pPr>
        <w:spacing w:before="240" w:after="60"/>
        <w:rPr>
          <w:rFonts w:ascii="Arial" w:hAnsi="Arial" w:cs="Arial"/>
          <w:sz w:val="20"/>
        </w:rPr>
      </w:pPr>
      <w:r w:rsidRPr="004E58AE">
        <w:rPr>
          <w:rFonts w:ascii="Arial" w:hAnsi="Arial" w:cs="Arial"/>
          <w:b/>
          <w:bCs/>
          <w:sz w:val="20"/>
        </w:rPr>
        <w:t xml:space="preserve">SI Text </w:t>
      </w:r>
      <w:r>
        <w:rPr>
          <w:rFonts w:ascii="Arial" w:hAnsi="Arial" w:cs="Arial"/>
          <w:b/>
          <w:bCs/>
          <w:sz w:val="20"/>
        </w:rPr>
        <w:t>3</w:t>
      </w:r>
      <w:r>
        <w:rPr>
          <w:rFonts w:ascii="Arial" w:hAnsi="Arial" w:cs="Arial"/>
          <w:b/>
          <w:sz w:val="20"/>
        </w:rPr>
        <w:br/>
      </w:r>
      <w:r w:rsidRPr="00ED282A">
        <w:rPr>
          <w:rFonts w:ascii="Arial" w:hAnsi="Arial" w:cs="Arial"/>
          <w:sz w:val="20"/>
        </w:rPr>
        <w:t xml:space="preserve">The strain used in this, the T1 thermotolerant strain, was evolved from the S288C lab strain. Exposure to temperatures outside a viable temperature range can result in suboptimal performance or, at extreme temperatures, cell death. Because the heat shocks used in this study were severe, the use of the S288C strain would render evolution lines susceptible to extinction. Minimizing extinction risk required a thermotolerant strain as the ancestor for evolution lines, which would ensure survival across regimes consisting of repeated heat shocks. To evolve thermotolerance, we adapted </w:t>
      </w:r>
      <w:r w:rsidRPr="00ED282A">
        <w:rPr>
          <w:rFonts w:ascii="Arial" w:hAnsi="Arial" w:cs="Arial"/>
          <w:i/>
          <w:sz w:val="20"/>
        </w:rPr>
        <w:t xml:space="preserve">Saccharomyces cerevisiae </w:t>
      </w:r>
      <w:r w:rsidRPr="00ED282A">
        <w:rPr>
          <w:rFonts w:ascii="Arial" w:hAnsi="Arial" w:cs="Arial"/>
          <w:sz w:val="20"/>
        </w:rPr>
        <w:t>S288C to continuous elevated temperatures (4</w:t>
      </w:r>
      <w:r w:rsidRPr="00ED282A">
        <w:rPr>
          <w:rFonts w:ascii="Arial" w:hAnsi="Arial" w:cs="Arial"/>
          <w:color w:val="1F1F1F"/>
          <w:sz w:val="20"/>
        </w:rPr>
        <w:t>0</w:t>
      </w:r>
      <w:r>
        <w:rPr>
          <w:rFonts w:ascii="Arial" w:hAnsi="Arial" w:cs="Arial"/>
          <w:color w:val="1F1F1F"/>
          <w:sz w:val="20"/>
        </w:rPr>
        <w:t xml:space="preserve"> </w:t>
      </w:r>
      <w:r w:rsidRPr="00ED282A">
        <w:rPr>
          <w:rFonts w:ascii="Arial" w:hAnsi="Arial" w:cs="Arial"/>
          <w:color w:val="2A2A2A"/>
          <w:sz w:val="20"/>
        </w:rPr>
        <w:t xml:space="preserve">°C) for ~300 generations. Following this, one strain was isolated (T1) </w:t>
      </w:r>
      <w:r w:rsidRPr="00ED282A">
        <w:rPr>
          <w:rFonts w:ascii="Arial" w:hAnsi="Arial" w:cs="Arial"/>
          <w:color w:val="2A2A2A"/>
          <w:spacing w:val="2"/>
          <w:sz w:val="20"/>
        </w:rPr>
        <w:t xml:space="preserve">and </w:t>
      </w:r>
      <w:r w:rsidRPr="00ED282A">
        <w:rPr>
          <w:rFonts w:ascii="Arial" w:hAnsi="Arial" w:cs="Arial"/>
          <w:color w:val="2A2A2A"/>
          <w:sz w:val="20"/>
        </w:rPr>
        <w:t xml:space="preserve">was characterized for thermotolerance. </w:t>
      </w:r>
      <w:r w:rsidRPr="00ED282A">
        <w:rPr>
          <w:rFonts w:ascii="Arial" w:hAnsi="Arial" w:cs="Arial"/>
          <w:sz w:val="20"/>
        </w:rPr>
        <w:t xml:space="preserve">Because thermotolerant cells are also resistant to heat shocks, we used heat shock tolerance </w:t>
      </w:r>
      <w:r w:rsidRPr="00ED282A">
        <w:rPr>
          <w:rFonts w:ascii="Arial" w:hAnsi="Arial" w:cs="Arial"/>
          <w:spacing w:val="10"/>
          <w:sz w:val="20"/>
        </w:rPr>
        <w:t xml:space="preserve">as a </w:t>
      </w:r>
      <w:r w:rsidRPr="00ED282A">
        <w:rPr>
          <w:rFonts w:ascii="Arial" w:hAnsi="Arial" w:cs="Arial"/>
          <w:sz w:val="20"/>
        </w:rPr>
        <w:t>measure of thermotolerance. We found that the T1 strain had a significantly higher heat shock tolerance (Supplementary Figure S</w:t>
      </w:r>
      <w:r>
        <w:rPr>
          <w:rFonts w:ascii="Arial" w:hAnsi="Arial" w:cs="Arial"/>
          <w:sz w:val="20"/>
        </w:rPr>
        <w:t>2</w:t>
      </w:r>
      <w:r w:rsidRPr="00ED282A">
        <w:rPr>
          <w:rFonts w:ascii="Arial" w:hAnsi="Arial" w:cs="Arial"/>
          <w:sz w:val="20"/>
        </w:rPr>
        <w:t>) relative to the ancestor (df=1, MS=773.8, F</w:t>
      </w:r>
      <w:r w:rsidRPr="00ED282A">
        <w:rPr>
          <w:rFonts w:ascii="Arial" w:hAnsi="Arial" w:cs="Arial"/>
          <w:sz w:val="20"/>
          <w:vertAlign w:val="subscript"/>
        </w:rPr>
        <w:t>1,10</w:t>
      </w:r>
      <w:r w:rsidRPr="00ED282A">
        <w:rPr>
          <w:rFonts w:ascii="Arial" w:hAnsi="Arial" w:cs="Arial"/>
          <w:sz w:val="20"/>
        </w:rPr>
        <w:t>=51.84, p &lt; 0.001).</w:t>
      </w:r>
    </w:p>
    <w:p w14:paraId="55A467A2" w14:textId="77777777" w:rsidR="00611B62" w:rsidRDefault="00611B62" w:rsidP="00611B62">
      <w:pPr>
        <w:spacing w:before="240" w:after="60"/>
        <w:rPr>
          <w:rFonts w:ascii="Arial" w:hAnsi="Arial" w:cs="Arial"/>
          <w:b/>
          <w:bCs/>
          <w:sz w:val="20"/>
        </w:rPr>
      </w:pPr>
      <w:r w:rsidRPr="004E58AE">
        <w:rPr>
          <w:rFonts w:ascii="Arial" w:hAnsi="Arial" w:cs="Arial"/>
          <w:b/>
          <w:bCs/>
          <w:sz w:val="20"/>
        </w:rPr>
        <w:t xml:space="preserve">SI Text </w:t>
      </w:r>
      <w:r>
        <w:rPr>
          <w:rFonts w:ascii="Arial" w:hAnsi="Arial" w:cs="Arial"/>
          <w:b/>
          <w:bCs/>
          <w:sz w:val="20"/>
        </w:rPr>
        <w:t>4</w:t>
      </w:r>
    </w:p>
    <w:p w14:paraId="1F288C11" w14:textId="337ED0AA" w:rsidR="00611B62" w:rsidRDefault="00611B62" w:rsidP="00611B62">
      <w:pPr>
        <w:rPr>
          <w:rFonts w:ascii="Arial" w:hAnsi="Arial" w:cs="Arial"/>
          <w:color w:val="000000" w:themeColor="text1"/>
          <w:sz w:val="20"/>
        </w:rPr>
      </w:pPr>
      <w:r w:rsidRPr="0079093C">
        <w:rPr>
          <w:rFonts w:ascii="Arial" w:hAnsi="Arial" w:cs="Arial"/>
          <w:color w:val="000000" w:themeColor="text1"/>
          <w:sz w:val="20"/>
        </w:rPr>
        <w:t>To estimate the number of generations per transfer during experimental evolution, we calculated the doubling time from growth measurements.  Two mid-log values were used to calculate doubling time. Here, we used OD</w:t>
      </w:r>
      <w:r w:rsidRPr="0079093C">
        <w:rPr>
          <w:rFonts w:ascii="Arial" w:hAnsi="Arial" w:cs="Arial"/>
          <w:color w:val="000000" w:themeColor="text1"/>
          <w:sz w:val="20"/>
          <w:vertAlign w:val="subscript"/>
        </w:rPr>
        <w:t xml:space="preserve">600 </w:t>
      </w:r>
      <w:r w:rsidRPr="0079093C">
        <w:rPr>
          <w:rFonts w:ascii="Arial" w:hAnsi="Arial" w:cs="Arial"/>
          <w:color w:val="000000" w:themeColor="text1"/>
          <w:sz w:val="20"/>
        </w:rPr>
        <w:t>measurements at 15.5 hours (0.402) and 21 hours (1.609). Doubling time (T</w:t>
      </w:r>
      <w:r w:rsidRPr="0079093C">
        <w:rPr>
          <w:rFonts w:ascii="Arial" w:hAnsi="Arial" w:cs="Arial"/>
          <w:color w:val="000000" w:themeColor="text1"/>
          <w:sz w:val="20"/>
          <w:vertAlign w:val="subscript"/>
        </w:rPr>
        <w:t>d</w:t>
      </w:r>
      <w:r w:rsidRPr="0079093C">
        <w:rPr>
          <w:rFonts w:ascii="Arial" w:hAnsi="Arial" w:cs="Arial"/>
          <w:color w:val="000000" w:themeColor="text1"/>
          <w:sz w:val="20"/>
        </w:rPr>
        <w:t>) was calculate</w:t>
      </w:r>
      <w:r>
        <w:rPr>
          <w:rFonts w:ascii="Arial" w:hAnsi="Arial" w:cs="Arial"/>
          <w:color w:val="000000" w:themeColor="text1"/>
          <w:sz w:val="20"/>
        </w:rPr>
        <w:t>d</w:t>
      </w:r>
      <w:r w:rsidRPr="0079093C">
        <w:rPr>
          <w:rFonts w:ascii="Arial" w:hAnsi="Arial" w:cs="Arial"/>
          <w:color w:val="000000" w:themeColor="text1"/>
          <w:sz w:val="20"/>
        </w:rPr>
        <w:t xml:space="preserve"> using the equation:</w:t>
      </w:r>
    </w:p>
    <w:p w14:paraId="71923653" w14:textId="77777777" w:rsidR="00611B62" w:rsidRPr="0079093C" w:rsidRDefault="00611B62" w:rsidP="00611B62">
      <w:pPr>
        <w:rPr>
          <w:rFonts w:ascii="Arial" w:hAnsi="Arial" w:cs="Arial"/>
          <w:color w:val="000000" w:themeColor="text1"/>
          <w:sz w:val="20"/>
        </w:rPr>
      </w:pPr>
    </w:p>
    <w:p w14:paraId="113AF94E" w14:textId="77777777" w:rsidR="00611B62" w:rsidRPr="0079093C" w:rsidRDefault="00611B62" w:rsidP="00611B62">
      <w:pPr>
        <w:rPr>
          <w:rFonts w:ascii="Arial" w:eastAsiaTheme="minorEastAsia" w:hAnsi="Arial" w:cs="Arial"/>
          <w:color w:val="000000" w:themeColor="text1"/>
          <w:sz w:val="20"/>
        </w:rPr>
      </w:pPr>
      <m:oMathPara>
        <m:oMath>
          <m:r>
            <w:rPr>
              <w:rFonts w:ascii="Cambria Math" w:hAnsi="Cambria Math" w:cs="Arial"/>
              <w:color w:val="000000" w:themeColor="text1"/>
              <w:sz w:val="20"/>
            </w:rPr>
            <m:t>Doubling Time=duration*</m:t>
          </m:r>
          <m:f>
            <m:fPr>
              <m:ctrlPr>
                <w:rPr>
                  <w:rFonts w:ascii="Cambria Math" w:hAnsi="Cambria Math" w:cs="Arial"/>
                  <w:i/>
                  <w:color w:val="000000" w:themeColor="text1"/>
                  <w:sz w:val="20"/>
                </w:rPr>
              </m:ctrlPr>
            </m:fPr>
            <m:num>
              <m:func>
                <m:funcPr>
                  <m:ctrlPr>
                    <w:rPr>
                      <w:rFonts w:ascii="Cambria Math" w:hAnsi="Cambria Math" w:cs="Arial"/>
                      <w:color w:val="000000" w:themeColor="text1"/>
                      <w:sz w:val="20"/>
                    </w:rPr>
                  </m:ctrlPr>
                </m:funcPr>
                <m:fName>
                  <m:r>
                    <m:rPr>
                      <m:sty m:val="p"/>
                    </m:rPr>
                    <w:rPr>
                      <w:rFonts w:ascii="Cambria Math" w:hAnsi="Cambria Math" w:cs="Arial"/>
                      <w:color w:val="000000" w:themeColor="text1"/>
                      <w:sz w:val="20"/>
                    </w:rPr>
                    <m:t>log</m:t>
                  </m:r>
                  <m:ctrlPr>
                    <w:rPr>
                      <w:rFonts w:ascii="Cambria Math" w:hAnsi="Cambria Math" w:cs="Arial"/>
                      <w:i/>
                      <w:color w:val="000000" w:themeColor="text1"/>
                      <w:sz w:val="20"/>
                    </w:rPr>
                  </m:ctrlPr>
                </m:fName>
                <m:e>
                  <m:d>
                    <m:dPr>
                      <m:ctrlPr>
                        <w:rPr>
                          <w:rFonts w:ascii="Cambria Math" w:hAnsi="Cambria Math" w:cs="Arial"/>
                          <w:i/>
                          <w:color w:val="000000" w:themeColor="text1"/>
                          <w:sz w:val="20"/>
                        </w:rPr>
                      </m:ctrlPr>
                    </m:dPr>
                    <m:e>
                      <m:r>
                        <w:rPr>
                          <w:rFonts w:ascii="Cambria Math" w:hAnsi="Cambria Math" w:cs="Arial"/>
                          <w:color w:val="000000" w:themeColor="text1"/>
                          <w:sz w:val="20"/>
                        </w:rPr>
                        <m:t>2</m:t>
                      </m:r>
                    </m:e>
                  </m:d>
                </m:e>
              </m:func>
            </m:num>
            <m:den>
              <m:func>
                <m:funcPr>
                  <m:ctrlPr>
                    <w:rPr>
                      <w:rFonts w:ascii="Cambria Math" w:hAnsi="Cambria Math" w:cs="Arial"/>
                      <w:i/>
                      <w:color w:val="000000" w:themeColor="text1"/>
                      <w:sz w:val="20"/>
                    </w:rPr>
                  </m:ctrlPr>
                </m:funcPr>
                <m:fName>
                  <m:r>
                    <m:rPr>
                      <m:sty m:val="p"/>
                    </m:rPr>
                    <w:rPr>
                      <w:rFonts w:ascii="Cambria Math" w:hAnsi="Cambria Math" w:cs="Arial"/>
                      <w:color w:val="000000" w:themeColor="text1"/>
                      <w:sz w:val="20"/>
                    </w:rPr>
                    <m:t>log</m:t>
                  </m:r>
                </m:fName>
                <m:e>
                  <m:d>
                    <m:dPr>
                      <m:ctrlPr>
                        <w:rPr>
                          <w:rFonts w:ascii="Cambria Math" w:hAnsi="Cambria Math" w:cs="Arial"/>
                          <w:i/>
                          <w:color w:val="000000" w:themeColor="text1"/>
                          <w:sz w:val="20"/>
                        </w:rPr>
                      </m:ctrlPr>
                    </m:dPr>
                    <m:e>
                      <m:r>
                        <w:rPr>
                          <w:rFonts w:ascii="Cambria Math" w:hAnsi="Cambria Math" w:cs="Arial"/>
                          <w:color w:val="000000" w:themeColor="text1"/>
                          <w:sz w:val="20"/>
                        </w:rPr>
                        <m:t>FinalConcentration</m:t>
                      </m:r>
                    </m:e>
                  </m:d>
                </m:e>
              </m:func>
              <m:r>
                <w:rPr>
                  <w:rFonts w:ascii="Cambria Math" w:hAnsi="Cambria Math" w:cs="Arial"/>
                  <w:color w:val="000000" w:themeColor="text1"/>
                  <w:sz w:val="20"/>
                </w:rPr>
                <m:t>-</m:t>
              </m:r>
              <m:func>
                <m:funcPr>
                  <m:ctrlPr>
                    <w:rPr>
                      <w:rFonts w:ascii="Cambria Math" w:hAnsi="Cambria Math" w:cs="Arial"/>
                      <w:i/>
                      <w:color w:val="000000" w:themeColor="text1"/>
                      <w:sz w:val="20"/>
                    </w:rPr>
                  </m:ctrlPr>
                </m:funcPr>
                <m:fName>
                  <m:r>
                    <m:rPr>
                      <m:sty m:val="p"/>
                    </m:rPr>
                    <w:rPr>
                      <w:rFonts w:ascii="Cambria Math" w:hAnsi="Cambria Math" w:cs="Arial"/>
                      <w:color w:val="000000" w:themeColor="text1"/>
                      <w:sz w:val="20"/>
                    </w:rPr>
                    <m:t>log</m:t>
                  </m:r>
                </m:fName>
                <m:e>
                  <m:r>
                    <w:rPr>
                      <w:rFonts w:ascii="Cambria Math" w:hAnsi="Cambria Math" w:cs="Arial"/>
                      <w:color w:val="000000" w:themeColor="text1"/>
                      <w:sz w:val="20"/>
                    </w:rPr>
                    <m:t>(InitialConcentration)</m:t>
                  </m:r>
                </m:e>
              </m:func>
            </m:den>
          </m:f>
        </m:oMath>
      </m:oMathPara>
    </w:p>
    <w:p w14:paraId="1E7ACF39" w14:textId="77777777" w:rsidR="00611B62" w:rsidRDefault="00611B62" w:rsidP="00611B62">
      <w:pPr>
        <w:rPr>
          <w:rFonts w:ascii="Arial" w:hAnsi="Arial" w:cs="Arial"/>
          <w:color w:val="000000" w:themeColor="text1"/>
          <w:sz w:val="20"/>
        </w:rPr>
      </w:pPr>
    </w:p>
    <w:p w14:paraId="695A8194" w14:textId="3C083A70" w:rsidR="00013A08" w:rsidRPr="004B3967" w:rsidRDefault="00611B62" w:rsidP="004B3967">
      <w:pPr>
        <w:rPr>
          <w:rFonts w:ascii="Arial" w:hAnsi="Arial" w:cs="Arial"/>
          <w:color w:val="000000" w:themeColor="text1"/>
          <w:sz w:val="20"/>
        </w:rPr>
      </w:pPr>
      <w:r w:rsidRPr="0079093C">
        <w:rPr>
          <w:rFonts w:ascii="Arial" w:hAnsi="Arial" w:cs="Arial"/>
          <w:color w:val="000000" w:themeColor="text1"/>
          <w:sz w:val="20"/>
        </w:rPr>
        <w:t>Using this, doubling time was estimated to be 2.74 hours. We the</w:t>
      </w:r>
      <w:r>
        <w:rPr>
          <w:rFonts w:ascii="Arial" w:hAnsi="Arial" w:cs="Arial"/>
          <w:color w:val="000000" w:themeColor="text1"/>
          <w:sz w:val="20"/>
        </w:rPr>
        <w:t>n</w:t>
      </w:r>
      <w:r w:rsidRPr="0079093C">
        <w:rPr>
          <w:rFonts w:ascii="Arial" w:hAnsi="Arial" w:cs="Arial"/>
          <w:color w:val="000000" w:themeColor="text1"/>
          <w:sz w:val="20"/>
        </w:rPr>
        <w:t xml:space="preserve"> use the doubling time to estimate the number of doublings, given the starting cell concentration, for a cell culture to reach early saturation phase. Since yeast cultures reached saturation </w:t>
      </w:r>
      <w:r>
        <w:rPr>
          <w:rFonts w:ascii="Arial" w:hAnsi="Arial" w:cs="Arial"/>
          <w:color w:val="000000" w:themeColor="text1"/>
          <w:sz w:val="20"/>
        </w:rPr>
        <w:t>in</w:t>
      </w:r>
      <w:r w:rsidRPr="0079093C">
        <w:rPr>
          <w:rFonts w:ascii="Arial" w:hAnsi="Arial" w:cs="Arial"/>
          <w:color w:val="000000" w:themeColor="text1"/>
          <w:sz w:val="20"/>
        </w:rPr>
        <w:t xml:space="preserve"> ~22.5 hours, the number of generations (g) in each transfer during experimental evolution was calculated as g= T/ T</w:t>
      </w:r>
      <w:r w:rsidRPr="0079093C">
        <w:rPr>
          <w:rFonts w:ascii="Arial" w:hAnsi="Arial" w:cs="Arial"/>
          <w:color w:val="000000" w:themeColor="text1"/>
          <w:sz w:val="20"/>
          <w:vertAlign w:val="subscript"/>
        </w:rPr>
        <w:t>d</w:t>
      </w:r>
      <w:r w:rsidRPr="0079093C">
        <w:rPr>
          <w:rFonts w:ascii="Arial" w:hAnsi="Arial" w:cs="Arial"/>
          <w:color w:val="000000" w:themeColor="text1"/>
          <w:sz w:val="20"/>
        </w:rPr>
        <w:t>.  T is the time taken to reach early saturation and T</w:t>
      </w:r>
      <w:r w:rsidRPr="0079093C">
        <w:rPr>
          <w:rFonts w:ascii="Arial" w:hAnsi="Arial" w:cs="Arial"/>
          <w:color w:val="000000" w:themeColor="text1"/>
          <w:sz w:val="20"/>
          <w:vertAlign w:val="subscript"/>
        </w:rPr>
        <w:t>d</w:t>
      </w:r>
      <w:r w:rsidRPr="0079093C">
        <w:rPr>
          <w:rFonts w:ascii="Arial" w:hAnsi="Arial" w:cs="Arial"/>
          <w:color w:val="000000" w:themeColor="text1"/>
          <w:sz w:val="20"/>
        </w:rPr>
        <w:t xml:space="preserve"> is the doubling time. Using this, g was calculated to be 8.213. </w:t>
      </w:r>
    </w:p>
    <w:p w14:paraId="3FA98B28" w14:textId="1A16FC4F" w:rsidR="009171BF" w:rsidRDefault="009171BF" w:rsidP="009171BF">
      <w:pPr>
        <w:spacing w:before="240" w:after="60"/>
        <w:rPr>
          <w:rFonts w:ascii="Arial" w:hAnsi="Arial" w:cs="Arial"/>
          <w:b/>
          <w:bCs/>
          <w:sz w:val="20"/>
        </w:rPr>
      </w:pPr>
      <w:r w:rsidRPr="004E58AE">
        <w:rPr>
          <w:rFonts w:ascii="Arial" w:hAnsi="Arial" w:cs="Arial"/>
          <w:b/>
          <w:bCs/>
          <w:sz w:val="20"/>
        </w:rPr>
        <w:t xml:space="preserve">SI Text </w:t>
      </w:r>
      <w:r>
        <w:rPr>
          <w:rFonts w:ascii="Arial" w:hAnsi="Arial" w:cs="Arial"/>
          <w:b/>
          <w:bCs/>
          <w:sz w:val="20"/>
        </w:rPr>
        <w:t>5</w:t>
      </w:r>
    </w:p>
    <w:p w14:paraId="1A534830" w14:textId="4F397771" w:rsidR="00013A08" w:rsidRPr="00A870F8" w:rsidRDefault="009171BF" w:rsidP="00611B62">
      <w:pPr>
        <w:rPr>
          <w:rFonts w:ascii="Arial" w:hAnsi="Arial" w:cs="Arial"/>
          <w:color w:val="000000" w:themeColor="text1"/>
          <w:sz w:val="20"/>
        </w:rPr>
      </w:pPr>
      <w:r>
        <w:rPr>
          <w:rFonts w:ascii="Arial" w:hAnsi="Arial" w:cs="Arial"/>
          <w:color w:val="000000" w:themeColor="text1"/>
          <w:sz w:val="20"/>
        </w:rPr>
        <w:t>A Kruskal-</w:t>
      </w:r>
      <w:proofErr w:type="gramStart"/>
      <w:r>
        <w:rPr>
          <w:rFonts w:ascii="Arial" w:hAnsi="Arial" w:cs="Arial"/>
          <w:color w:val="000000" w:themeColor="text1"/>
          <w:sz w:val="20"/>
        </w:rPr>
        <w:t>Wallis</w:t>
      </w:r>
      <w:proofErr w:type="gramEnd"/>
      <w:r>
        <w:rPr>
          <w:rFonts w:ascii="Arial" w:hAnsi="Arial" w:cs="Arial"/>
          <w:color w:val="000000" w:themeColor="text1"/>
          <w:sz w:val="20"/>
        </w:rPr>
        <w:t xml:space="preserve"> test was performed to analyze differences in relative fitness between replicate lines evolved in Regimes A &amp; B, and their ancestor the T1 strain. Results were qualitatively </w:t>
      </w:r>
      <w:r w:rsidR="00964CC7">
        <w:rPr>
          <w:rFonts w:ascii="Arial" w:hAnsi="Arial" w:cs="Arial"/>
          <w:color w:val="000000" w:themeColor="text1"/>
          <w:sz w:val="20"/>
        </w:rPr>
        <w:t>identical</w:t>
      </w:r>
      <w:r>
        <w:rPr>
          <w:rFonts w:ascii="Arial" w:hAnsi="Arial" w:cs="Arial"/>
          <w:color w:val="000000" w:themeColor="text1"/>
          <w:sz w:val="20"/>
        </w:rPr>
        <w:t xml:space="preserve"> to the parametric </w:t>
      </w:r>
      <w:r w:rsidR="006D3D9A">
        <w:rPr>
          <w:rFonts w:ascii="Arial" w:hAnsi="Arial" w:cs="Arial"/>
          <w:color w:val="000000" w:themeColor="text1"/>
          <w:sz w:val="20"/>
        </w:rPr>
        <w:t>one-way ANOVA</w:t>
      </w:r>
      <w:r w:rsidR="00A870F8">
        <w:rPr>
          <w:rFonts w:ascii="Arial" w:hAnsi="Arial" w:cs="Arial"/>
          <w:color w:val="000000" w:themeColor="text1"/>
          <w:sz w:val="20"/>
        </w:rPr>
        <w:t xml:space="preserve"> (df = 2, χ</w:t>
      </w:r>
      <w:r w:rsidR="00A870F8">
        <w:rPr>
          <w:rFonts w:ascii="Arial" w:hAnsi="Arial" w:cs="Arial"/>
          <w:color w:val="000000" w:themeColor="text1"/>
          <w:sz w:val="20"/>
          <w:vertAlign w:val="superscript"/>
        </w:rPr>
        <w:t xml:space="preserve">2 </w:t>
      </w:r>
      <w:r w:rsidR="00A870F8">
        <w:rPr>
          <w:rFonts w:ascii="Arial" w:hAnsi="Arial" w:cs="Arial"/>
          <w:color w:val="000000" w:themeColor="text1"/>
          <w:sz w:val="20"/>
        </w:rPr>
        <w:t xml:space="preserve">= 9.285, p = 0.0097). A post-hoc Dunn’s test was subsequently performed with </w:t>
      </w:r>
      <w:proofErr w:type="spellStart"/>
      <w:r w:rsidR="00A870F8">
        <w:rPr>
          <w:rFonts w:ascii="Arial" w:hAnsi="Arial" w:cs="Arial"/>
          <w:color w:val="000000" w:themeColor="text1"/>
          <w:sz w:val="20"/>
        </w:rPr>
        <w:t>Benjamini</w:t>
      </w:r>
      <w:proofErr w:type="spellEnd"/>
      <w:r w:rsidR="00A870F8">
        <w:rPr>
          <w:rFonts w:ascii="Arial" w:hAnsi="Arial" w:cs="Arial"/>
          <w:color w:val="000000" w:themeColor="text1"/>
          <w:sz w:val="20"/>
        </w:rPr>
        <w:t xml:space="preserve">-Hochberg correction. Here too the results were found to be qualitatively </w:t>
      </w:r>
      <w:r w:rsidR="00964CC7">
        <w:rPr>
          <w:rFonts w:ascii="Arial" w:hAnsi="Arial" w:cs="Arial"/>
          <w:color w:val="000000" w:themeColor="text1"/>
          <w:sz w:val="20"/>
        </w:rPr>
        <w:t>identical</w:t>
      </w:r>
      <w:r w:rsidR="00A870F8">
        <w:rPr>
          <w:rFonts w:ascii="Arial" w:hAnsi="Arial" w:cs="Arial"/>
          <w:color w:val="000000" w:themeColor="text1"/>
          <w:sz w:val="20"/>
        </w:rPr>
        <w:t xml:space="preserve"> to the parametric tests.</w:t>
      </w:r>
      <w:r w:rsidR="0099388C" w:rsidRPr="0099388C">
        <w:rPr>
          <w:rFonts w:ascii="Arial" w:hAnsi="Arial" w:cs="Arial"/>
          <w:sz w:val="20"/>
        </w:rPr>
        <w:t xml:space="preserve"> </w:t>
      </w:r>
      <w:r w:rsidR="0099388C" w:rsidRPr="00633ACD">
        <w:rPr>
          <w:rFonts w:ascii="Arial" w:hAnsi="Arial" w:cs="Arial"/>
          <w:sz w:val="20"/>
        </w:rPr>
        <w:t xml:space="preserve">with lines from both </w:t>
      </w:r>
      <w:r w:rsidR="0099388C" w:rsidRPr="00792E6B">
        <w:rPr>
          <w:rFonts w:ascii="Arial" w:hAnsi="Arial" w:cs="Arial"/>
          <w:sz w:val="20"/>
        </w:rPr>
        <w:t>R</w:t>
      </w:r>
      <w:r w:rsidR="0099388C">
        <w:rPr>
          <w:rFonts w:ascii="Arial" w:hAnsi="Arial" w:cs="Arial"/>
          <w:sz w:val="20"/>
        </w:rPr>
        <w:t xml:space="preserve">egime </w:t>
      </w:r>
      <w:r w:rsidR="0099388C" w:rsidRPr="00792E6B">
        <w:rPr>
          <w:rFonts w:ascii="Arial" w:hAnsi="Arial" w:cs="Arial"/>
          <w:sz w:val="20"/>
        </w:rPr>
        <w:t>A (mean = 0.945</w:t>
      </w:r>
      <w:r w:rsidR="0099388C">
        <w:rPr>
          <w:rFonts w:ascii="Arial" w:hAnsi="Arial" w:cs="Arial"/>
          <w:sz w:val="20"/>
        </w:rPr>
        <w:t xml:space="preserve">, </w:t>
      </w:r>
      <w:r w:rsidR="0099388C">
        <w:rPr>
          <w:rFonts w:ascii="Arial" w:hAnsi="Arial" w:cs="Arial"/>
          <w:i/>
          <w:iCs/>
          <w:sz w:val="20"/>
        </w:rPr>
        <w:t xml:space="preserve">n </w:t>
      </w:r>
      <w:r w:rsidR="0099388C">
        <w:rPr>
          <w:rFonts w:ascii="Arial" w:hAnsi="Arial" w:cs="Arial"/>
          <w:sz w:val="20"/>
        </w:rPr>
        <w:t>= 8</w:t>
      </w:r>
      <w:r w:rsidR="0099388C" w:rsidRPr="00792E6B">
        <w:rPr>
          <w:rFonts w:ascii="Arial" w:hAnsi="Arial" w:cs="Arial"/>
          <w:sz w:val="20"/>
        </w:rPr>
        <w:t xml:space="preserve">) and </w:t>
      </w:r>
      <w:r w:rsidR="0099388C">
        <w:rPr>
          <w:rFonts w:ascii="Arial" w:hAnsi="Arial" w:cs="Arial"/>
          <w:sz w:val="20"/>
        </w:rPr>
        <w:t xml:space="preserve">Regime </w:t>
      </w:r>
      <w:r w:rsidR="0099388C" w:rsidRPr="00792E6B">
        <w:rPr>
          <w:rFonts w:ascii="Arial" w:hAnsi="Arial" w:cs="Arial"/>
          <w:sz w:val="20"/>
        </w:rPr>
        <w:t>B (mean = 0.951</w:t>
      </w:r>
      <w:r w:rsidR="0099388C">
        <w:rPr>
          <w:rFonts w:ascii="Arial" w:hAnsi="Arial" w:cs="Arial"/>
          <w:sz w:val="20"/>
        </w:rPr>
        <w:t xml:space="preserve">, </w:t>
      </w:r>
      <w:r w:rsidR="0099388C">
        <w:rPr>
          <w:rFonts w:ascii="Arial" w:hAnsi="Arial" w:cs="Arial"/>
          <w:i/>
          <w:iCs/>
          <w:sz w:val="20"/>
        </w:rPr>
        <w:t xml:space="preserve">n </w:t>
      </w:r>
      <w:r w:rsidR="0099388C">
        <w:rPr>
          <w:rFonts w:ascii="Arial" w:hAnsi="Arial" w:cs="Arial"/>
          <w:sz w:val="20"/>
        </w:rPr>
        <w:t>= 8</w:t>
      </w:r>
      <w:r w:rsidR="0099388C" w:rsidRPr="00792E6B">
        <w:rPr>
          <w:rFonts w:ascii="Arial" w:hAnsi="Arial" w:cs="Arial"/>
          <w:sz w:val="20"/>
        </w:rPr>
        <w:t>) having significantly lower (p=0.0</w:t>
      </w:r>
      <w:r w:rsidR="0099388C">
        <w:rPr>
          <w:rFonts w:ascii="Arial" w:hAnsi="Arial" w:cs="Arial"/>
          <w:sz w:val="20"/>
        </w:rPr>
        <w:t>126</w:t>
      </w:r>
      <w:r w:rsidR="0099388C" w:rsidRPr="00792E6B">
        <w:rPr>
          <w:rFonts w:ascii="Arial" w:hAnsi="Arial" w:cs="Arial"/>
          <w:sz w:val="20"/>
        </w:rPr>
        <w:t>, 0.0</w:t>
      </w:r>
      <w:r w:rsidR="0099388C">
        <w:rPr>
          <w:rFonts w:ascii="Arial" w:hAnsi="Arial" w:cs="Arial"/>
          <w:sz w:val="20"/>
        </w:rPr>
        <w:t>294</w:t>
      </w:r>
      <w:r w:rsidR="0099388C" w:rsidRPr="00792E6B">
        <w:rPr>
          <w:rFonts w:ascii="Arial" w:hAnsi="Arial" w:cs="Arial"/>
          <w:sz w:val="20"/>
        </w:rPr>
        <w:t xml:space="preserve"> for </w:t>
      </w:r>
      <w:r w:rsidR="0099388C">
        <w:rPr>
          <w:rFonts w:ascii="Arial" w:hAnsi="Arial" w:cs="Arial"/>
          <w:sz w:val="20"/>
        </w:rPr>
        <w:t xml:space="preserve">Regime </w:t>
      </w:r>
      <w:r w:rsidR="0099388C" w:rsidRPr="00792E6B">
        <w:rPr>
          <w:rFonts w:ascii="Arial" w:hAnsi="Arial" w:cs="Arial"/>
          <w:sz w:val="20"/>
        </w:rPr>
        <w:t xml:space="preserve">A and </w:t>
      </w:r>
      <w:r w:rsidR="0099388C">
        <w:rPr>
          <w:rFonts w:ascii="Arial" w:hAnsi="Arial" w:cs="Arial"/>
          <w:sz w:val="20"/>
        </w:rPr>
        <w:t xml:space="preserve">Regime </w:t>
      </w:r>
      <w:r w:rsidR="0099388C" w:rsidRPr="00792E6B">
        <w:rPr>
          <w:rFonts w:ascii="Arial" w:hAnsi="Arial" w:cs="Arial"/>
          <w:sz w:val="20"/>
        </w:rPr>
        <w:t>B respectively) fitness values relative to the T1 ancestor (mean = 1.016</w:t>
      </w:r>
      <w:r w:rsidR="0099388C">
        <w:rPr>
          <w:rFonts w:ascii="Arial" w:hAnsi="Arial" w:cs="Arial"/>
          <w:sz w:val="20"/>
        </w:rPr>
        <w:t xml:space="preserve">, </w:t>
      </w:r>
      <w:r w:rsidR="0099388C">
        <w:rPr>
          <w:rFonts w:ascii="Arial" w:hAnsi="Arial" w:cs="Arial"/>
          <w:i/>
          <w:iCs/>
          <w:sz w:val="20"/>
        </w:rPr>
        <w:t xml:space="preserve">n </w:t>
      </w:r>
      <w:r w:rsidR="0099388C">
        <w:rPr>
          <w:rFonts w:ascii="Arial" w:hAnsi="Arial" w:cs="Arial"/>
          <w:sz w:val="20"/>
        </w:rPr>
        <w:t>= 6</w:t>
      </w:r>
      <w:r w:rsidR="0099388C" w:rsidRPr="00792E6B">
        <w:rPr>
          <w:rFonts w:ascii="Arial" w:hAnsi="Arial" w:cs="Arial"/>
          <w:sz w:val="20"/>
        </w:rPr>
        <w:t>)</w:t>
      </w:r>
      <w:r w:rsidR="0099388C">
        <w:rPr>
          <w:rFonts w:ascii="Arial" w:hAnsi="Arial" w:cs="Arial"/>
          <w:sz w:val="20"/>
        </w:rPr>
        <w:t>. Lines from Regime A and Regime B did not significantly differ</w:t>
      </w:r>
      <w:r w:rsidR="00A870F8">
        <w:rPr>
          <w:rFonts w:ascii="Arial" w:hAnsi="Arial" w:cs="Arial"/>
          <w:color w:val="000000" w:themeColor="text1"/>
          <w:sz w:val="20"/>
        </w:rPr>
        <w:t xml:space="preserve"> </w:t>
      </w:r>
      <w:r w:rsidR="0099388C">
        <w:rPr>
          <w:rFonts w:ascii="Arial" w:hAnsi="Arial" w:cs="Arial"/>
          <w:color w:val="000000" w:themeColor="text1"/>
          <w:sz w:val="20"/>
        </w:rPr>
        <w:t>from each other in terms of relative fitness under benign conditions (p = 0.5959).</w:t>
      </w:r>
    </w:p>
    <w:p w14:paraId="129C8AFA" w14:textId="06D6149B" w:rsidR="009171BF" w:rsidRDefault="009171BF" w:rsidP="00611B62">
      <w:pPr>
        <w:rPr>
          <w:rFonts w:ascii="Arial" w:hAnsi="Arial" w:cs="Arial"/>
          <w:color w:val="000000" w:themeColor="text1"/>
          <w:sz w:val="20"/>
        </w:rPr>
      </w:pPr>
    </w:p>
    <w:p w14:paraId="4703C0AE" w14:textId="377B5E9D" w:rsidR="00F20E51" w:rsidRPr="0079093C" w:rsidRDefault="00F20E51" w:rsidP="00611B62">
      <w:pPr>
        <w:rPr>
          <w:rFonts w:ascii="Arial" w:hAnsi="Arial" w:cs="Arial"/>
          <w:color w:val="000000" w:themeColor="text1"/>
          <w:sz w:val="20"/>
        </w:rPr>
      </w:pPr>
      <w:r>
        <w:rPr>
          <w:rFonts w:ascii="Arial" w:hAnsi="Arial" w:cs="Arial"/>
          <w:color w:val="000000" w:themeColor="text1"/>
          <w:sz w:val="20"/>
        </w:rPr>
        <w:t>An Aligned Rank Transform ANOVA was used to model the effect of  regimes that differ in the frequency of heat shocks and</w:t>
      </w:r>
      <w:r w:rsidR="00964CC7">
        <w:rPr>
          <w:rFonts w:ascii="Arial" w:hAnsi="Arial" w:cs="Arial"/>
          <w:color w:val="000000" w:themeColor="text1"/>
          <w:sz w:val="20"/>
        </w:rPr>
        <w:t xml:space="preserve"> evolution under extended benign conditions on relative fitness. Results were qualitatively identical to</w:t>
      </w:r>
      <w:r w:rsidR="006D3D9A">
        <w:rPr>
          <w:rFonts w:ascii="Arial" w:hAnsi="Arial" w:cs="Arial"/>
          <w:color w:val="000000" w:themeColor="text1"/>
          <w:sz w:val="20"/>
        </w:rPr>
        <w:t xml:space="preserve"> the</w:t>
      </w:r>
      <w:r w:rsidR="00964CC7">
        <w:rPr>
          <w:rFonts w:ascii="Arial" w:hAnsi="Arial" w:cs="Arial"/>
          <w:color w:val="000000" w:themeColor="text1"/>
          <w:sz w:val="20"/>
        </w:rPr>
        <w:t xml:space="preserve"> parametric </w:t>
      </w:r>
      <w:r w:rsidR="006D3D9A">
        <w:rPr>
          <w:rFonts w:ascii="Arial" w:hAnsi="Arial" w:cs="Arial"/>
          <w:color w:val="000000" w:themeColor="text1"/>
          <w:sz w:val="20"/>
        </w:rPr>
        <w:t>two-way ANOVA</w:t>
      </w:r>
      <w:r w:rsidR="00964CC7">
        <w:rPr>
          <w:rFonts w:ascii="Arial" w:hAnsi="Arial" w:cs="Arial"/>
          <w:color w:val="000000" w:themeColor="text1"/>
          <w:sz w:val="20"/>
        </w:rPr>
        <w:t xml:space="preserve"> as </w:t>
      </w:r>
      <w:r w:rsidR="00964CC7" w:rsidRPr="00792E6B">
        <w:rPr>
          <w:rFonts w:ascii="Arial" w:hAnsi="Arial" w:cs="Arial"/>
          <w:sz w:val="20"/>
        </w:rPr>
        <w:t xml:space="preserve">only the main effect of subsequent selection </w:t>
      </w:r>
      <w:r w:rsidR="00964CC7">
        <w:rPr>
          <w:rFonts w:ascii="Arial" w:hAnsi="Arial" w:cs="Arial"/>
          <w:sz w:val="20"/>
        </w:rPr>
        <w:t xml:space="preserve">under extended benign conditions </w:t>
      </w:r>
      <w:r w:rsidR="00964CC7" w:rsidRPr="00792E6B">
        <w:rPr>
          <w:rFonts w:ascii="Arial" w:hAnsi="Arial" w:cs="Arial"/>
          <w:sz w:val="20"/>
        </w:rPr>
        <w:t>was found to be significant (df=1, F</w:t>
      </w:r>
      <w:r w:rsidR="00964CC7" w:rsidRPr="00792E6B">
        <w:rPr>
          <w:rFonts w:ascii="Arial" w:hAnsi="Arial" w:cs="Arial"/>
          <w:sz w:val="20"/>
          <w:vertAlign w:val="subscript"/>
        </w:rPr>
        <w:t>1,28</w:t>
      </w:r>
      <w:r w:rsidR="00964CC7" w:rsidRPr="00792E6B">
        <w:rPr>
          <w:rFonts w:ascii="Arial" w:hAnsi="Arial" w:cs="Arial"/>
          <w:sz w:val="20"/>
        </w:rPr>
        <w:t>=1</w:t>
      </w:r>
      <w:r w:rsidR="00660F78">
        <w:rPr>
          <w:rFonts w:ascii="Arial" w:hAnsi="Arial" w:cs="Arial"/>
          <w:sz w:val="20"/>
        </w:rPr>
        <w:t>2.719</w:t>
      </w:r>
      <w:r w:rsidR="00964CC7" w:rsidRPr="00792E6B">
        <w:rPr>
          <w:rFonts w:ascii="Arial" w:hAnsi="Arial" w:cs="Arial"/>
          <w:sz w:val="20"/>
        </w:rPr>
        <w:t>, p=0.00</w:t>
      </w:r>
      <w:r w:rsidR="00660F78">
        <w:rPr>
          <w:rFonts w:ascii="Arial" w:hAnsi="Arial" w:cs="Arial"/>
          <w:sz w:val="20"/>
        </w:rPr>
        <w:t>1</w:t>
      </w:r>
      <w:r w:rsidR="00964CC7" w:rsidRPr="00633ACD">
        <w:rPr>
          <w:rFonts w:ascii="Arial" w:hAnsi="Arial" w:cs="Arial"/>
          <w:sz w:val="20"/>
        </w:rPr>
        <w:t>)</w:t>
      </w:r>
      <w:r w:rsidR="00660F78">
        <w:rPr>
          <w:rFonts w:ascii="Arial" w:hAnsi="Arial" w:cs="Arial"/>
          <w:sz w:val="20"/>
        </w:rPr>
        <w:t xml:space="preserve">. A post-hoc Tukey test revealed </w:t>
      </w:r>
      <w:r w:rsidR="006D3D9A">
        <w:rPr>
          <w:rFonts w:ascii="Arial" w:hAnsi="Arial" w:cs="Arial"/>
          <w:sz w:val="20"/>
        </w:rPr>
        <w:t>a significant increase in relative fitness by generation 150 only in lines from Regime A (p = 0.0116)</w:t>
      </w:r>
      <w:r w:rsidR="004C79F6">
        <w:rPr>
          <w:rFonts w:ascii="Arial" w:hAnsi="Arial" w:cs="Arial"/>
          <w:sz w:val="20"/>
        </w:rPr>
        <w:t>.</w:t>
      </w:r>
    </w:p>
    <w:p w14:paraId="2655662F" w14:textId="77777777" w:rsidR="00611B62" w:rsidRDefault="00611B62" w:rsidP="00611B62">
      <w:pPr>
        <w:rPr>
          <w:rFonts w:ascii="Arial" w:hAnsi="Arial" w:cs="Arial"/>
          <w:b/>
          <w:bCs/>
          <w:sz w:val="20"/>
        </w:rPr>
      </w:pPr>
      <w:r>
        <w:rPr>
          <w:rFonts w:ascii="Arial" w:hAnsi="Arial" w:cs="Arial"/>
          <w:b/>
          <w:bCs/>
          <w:sz w:val="20"/>
        </w:rPr>
        <w:br w:type="page"/>
      </w:r>
    </w:p>
    <w:p w14:paraId="353DDDB6" w14:textId="77777777" w:rsidR="00611B62" w:rsidRDefault="00611B62" w:rsidP="00611B62">
      <w:pPr>
        <w:rPr>
          <w:rFonts w:ascii="Arial" w:hAnsi="Arial" w:cs="Arial"/>
          <w:sz w:val="20"/>
        </w:rPr>
      </w:pPr>
    </w:p>
    <w:p w14:paraId="216F5148" w14:textId="77777777" w:rsidR="00611B62" w:rsidRDefault="00611B62" w:rsidP="00611B62">
      <w:pPr>
        <w:pStyle w:val="SMHeading"/>
        <w:rPr>
          <w:rFonts w:ascii="Arial" w:hAnsi="Arial" w:cs="Arial"/>
          <w:sz w:val="20"/>
          <w:szCs w:val="20"/>
        </w:rPr>
      </w:pPr>
      <w:r>
        <w:rPr>
          <w:noProof/>
        </w:rPr>
        <w:drawing>
          <wp:inline distT="0" distB="0" distL="0" distR="0" wp14:anchorId="326D7D72" wp14:editId="2D724B4B">
            <wp:extent cx="5486400" cy="2522220"/>
            <wp:effectExtent l="0" t="0" r="0" b="0"/>
            <wp:docPr id="3" name="Picture 3"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hart, box and whisker ch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5486400" cy="2522220"/>
                    </a:xfrm>
                    <a:prstGeom prst="rect">
                      <a:avLst/>
                    </a:prstGeom>
                  </pic:spPr>
                </pic:pic>
              </a:graphicData>
            </a:graphic>
          </wp:inline>
        </w:drawing>
      </w:r>
    </w:p>
    <w:p w14:paraId="468DF98B" w14:textId="77777777" w:rsidR="00611B62" w:rsidRPr="00C967E4" w:rsidRDefault="00611B62" w:rsidP="00611B62">
      <w:pPr>
        <w:spacing w:line="244" w:lineRule="auto"/>
        <w:ind w:right="886"/>
        <w:rPr>
          <w:rFonts w:ascii="Arial" w:hAnsi="Arial" w:cs="Arial"/>
          <w:bCs/>
          <w:sz w:val="20"/>
        </w:rPr>
      </w:pPr>
      <w:r w:rsidRPr="0073487B">
        <w:rPr>
          <w:rFonts w:ascii="Arial" w:hAnsi="Arial" w:cs="Arial"/>
          <w:b/>
          <w:bCs/>
          <w:sz w:val="20"/>
        </w:rPr>
        <w:t>Fig. S1</w:t>
      </w:r>
      <w:r w:rsidRPr="00DC623A">
        <w:rPr>
          <w:rFonts w:ascii="Arial" w:hAnsi="Arial" w:cs="Arial"/>
          <w:sz w:val="20"/>
        </w:rPr>
        <w:t xml:space="preserve">. </w:t>
      </w:r>
      <w:r w:rsidRPr="00C967E4">
        <w:rPr>
          <w:rFonts w:ascii="Arial" w:hAnsi="Arial" w:cs="Arial"/>
          <w:bCs/>
          <w:sz w:val="20"/>
        </w:rPr>
        <w:t xml:space="preserve">Trait measurements after evolution in </w:t>
      </w:r>
      <w:r>
        <w:rPr>
          <w:rFonts w:ascii="Arial" w:hAnsi="Arial" w:cs="Arial"/>
          <w:bCs/>
          <w:sz w:val="20"/>
        </w:rPr>
        <w:t>a heat shock regime for ~100 generations</w:t>
      </w:r>
      <w:r w:rsidRPr="00C967E4">
        <w:rPr>
          <w:rFonts w:ascii="Arial" w:hAnsi="Arial" w:cs="Arial"/>
          <w:bCs/>
          <w:sz w:val="20"/>
        </w:rPr>
        <w:t xml:space="preserve">. (A) Heat shock tolerance (measured as % Survival) </w:t>
      </w:r>
      <w:r>
        <w:rPr>
          <w:rFonts w:ascii="Arial" w:hAnsi="Arial" w:cs="Arial"/>
          <w:bCs/>
          <w:sz w:val="20"/>
        </w:rPr>
        <w:t>for the Iso-1 and T1 strains</w:t>
      </w:r>
      <w:r w:rsidRPr="00C967E4">
        <w:rPr>
          <w:rFonts w:ascii="Arial" w:hAnsi="Arial" w:cs="Arial"/>
          <w:bCs/>
          <w:sz w:val="20"/>
        </w:rPr>
        <w:t>. (B) Competitive fitness (</w:t>
      </w:r>
      <w:r w:rsidRPr="00C967E4">
        <w:rPr>
          <w:rFonts w:ascii="Arial" w:hAnsi="Arial" w:cs="Arial"/>
          <w:bCs/>
          <w:i/>
          <w:sz w:val="20"/>
        </w:rPr>
        <w:t>w</w:t>
      </w:r>
      <w:r w:rsidRPr="00C967E4">
        <w:rPr>
          <w:rFonts w:ascii="Arial" w:hAnsi="Arial" w:cs="Arial"/>
          <w:bCs/>
          <w:sz w:val="20"/>
        </w:rPr>
        <w:t xml:space="preserve">) under benign conditions </w:t>
      </w:r>
      <w:r>
        <w:rPr>
          <w:rFonts w:ascii="Arial" w:hAnsi="Arial" w:cs="Arial"/>
          <w:bCs/>
          <w:sz w:val="20"/>
        </w:rPr>
        <w:t>for the Iso-1 and T1 strains</w:t>
      </w:r>
      <w:r w:rsidRPr="00C967E4">
        <w:rPr>
          <w:rFonts w:ascii="Arial" w:hAnsi="Arial" w:cs="Arial"/>
          <w:bCs/>
          <w:sz w:val="20"/>
        </w:rPr>
        <w:t>. Error bars represent SD</w:t>
      </w:r>
      <w:r>
        <w:rPr>
          <w:rFonts w:ascii="Arial" w:hAnsi="Arial" w:cs="Arial"/>
          <w:bCs/>
          <w:sz w:val="20"/>
        </w:rPr>
        <w:t>.</w:t>
      </w:r>
    </w:p>
    <w:p w14:paraId="4FAB20C9" w14:textId="77777777" w:rsidR="00611B62" w:rsidRDefault="00611B62" w:rsidP="00611B62">
      <w:pPr>
        <w:spacing w:line="244" w:lineRule="auto"/>
        <w:ind w:right="886"/>
        <w:rPr>
          <w:rFonts w:ascii="Arial" w:hAnsi="Arial" w:cs="Arial"/>
          <w:bCs/>
          <w:sz w:val="20"/>
        </w:rPr>
      </w:pPr>
    </w:p>
    <w:p w14:paraId="7315B04F" w14:textId="77777777" w:rsidR="00611B62" w:rsidRDefault="00611B62" w:rsidP="00611B62">
      <w:pPr>
        <w:rPr>
          <w:rFonts w:ascii="Arial" w:hAnsi="Arial" w:cs="Arial"/>
          <w:bCs/>
          <w:sz w:val="20"/>
        </w:rPr>
      </w:pPr>
      <w:r>
        <w:rPr>
          <w:rFonts w:ascii="Arial" w:hAnsi="Arial" w:cs="Arial"/>
          <w:bCs/>
          <w:sz w:val="20"/>
        </w:rPr>
        <w:br w:type="page"/>
      </w:r>
    </w:p>
    <w:p w14:paraId="2219B91E" w14:textId="77777777" w:rsidR="00611B62" w:rsidRDefault="00611B62" w:rsidP="00611B62">
      <w:pPr>
        <w:spacing w:line="244" w:lineRule="auto"/>
        <w:ind w:right="886"/>
        <w:rPr>
          <w:rFonts w:ascii="Arial" w:hAnsi="Arial" w:cs="Arial"/>
          <w:b/>
          <w:bCs/>
          <w:sz w:val="20"/>
        </w:rPr>
      </w:pPr>
    </w:p>
    <w:p w14:paraId="4FDF7576" w14:textId="77777777" w:rsidR="00611B62" w:rsidRDefault="00611B62" w:rsidP="00611B62">
      <w:pPr>
        <w:spacing w:line="244" w:lineRule="auto"/>
        <w:ind w:right="886"/>
        <w:rPr>
          <w:rFonts w:ascii="Arial" w:hAnsi="Arial" w:cs="Arial"/>
          <w:b/>
          <w:bCs/>
          <w:sz w:val="20"/>
        </w:rPr>
      </w:pPr>
      <w:r>
        <w:rPr>
          <w:noProof/>
        </w:rPr>
        <w:drawing>
          <wp:inline distT="0" distB="0" distL="0" distR="0" wp14:anchorId="14BF3DA9" wp14:editId="07AD45D4">
            <wp:extent cx="3061129" cy="2460349"/>
            <wp:effectExtent l="0" t="0" r="6350" b="0"/>
            <wp:docPr id="2" name="Picture 2"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box and whisker chart&#10;&#10;Description automatically generate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088417" cy="2482281"/>
                    </a:xfrm>
                    <a:prstGeom prst="rect">
                      <a:avLst/>
                    </a:prstGeom>
                    <a:noFill/>
                    <a:ln>
                      <a:noFill/>
                    </a:ln>
                  </pic:spPr>
                </pic:pic>
              </a:graphicData>
            </a:graphic>
          </wp:inline>
        </w:drawing>
      </w:r>
    </w:p>
    <w:p w14:paraId="4AAA073C" w14:textId="77777777" w:rsidR="00611B62" w:rsidRDefault="00611B62" w:rsidP="00611B62">
      <w:pPr>
        <w:spacing w:line="244" w:lineRule="auto"/>
        <w:ind w:right="886"/>
        <w:rPr>
          <w:rFonts w:ascii="Arial" w:hAnsi="Arial" w:cs="Arial"/>
          <w:b/>
          <w:bCs/>
          <w:sz w:val="20"/>
        </w:rPr>
      </w:pPr>
    </w:p>
    <w:p w14:paraId="77E45AB1" w14:textId="77777777" w:rsidR="00611B62" w:rsidRPr="00C967E4" w:rsidRDefault="00611B62" w:rsidP="00611B62">
      <w:pPr>
        <w:spacing w:line="244" w:lineRule="auto"/>
        <w:ind w:right="886"/>
        <w:rPr>
          <w:rFonts w:ascii="Arial" w:hAnsi="Arial" w:cs="Arial"/>
          <w:bCs/>
          <w:sz w:val="20"/>
        </w:rPr>
      </w:pPr>
      <w:r w:rsidRPr="0073487B">
        <w:rPr>
          <w:rFonts w:ascii="Arial" w:hAnsi="Arial" w:cs="Arial"/>
          <w:b/>
          <w:bCs/>
          <w:sz w:val="20"/>
        </w:rPr>
        <w:t>Fig. S</w:t>
      </w:r>
      <w:r>
        <w:rPr>
          <w:rFonts w:ascii="Arial" w:hAnsi="Arial" w:cs="Arial"/>
          <w:b/>
          <w:bCs/>
          <w:sz w:val="20"/>
        </w:rPr>
        <w:t>2</w:t>
      </w:r>
      <w:r w:rsidRPr="00DC623A">
        <w:rPr>
          <w:rFonts w:ascii="Arial" w:hAnsi="Arial" w:cs="Arial"/>
          <w:sz w:val="20"/>
        </w:rPr>
        <w:t xml:space="preserve">. </w:t>
      </w:r>
      <w:bookmarkStart w:id="0" w:name="_Hlk76094927"/>
      <w:r>
        <w:rPr>
          <w:rFonts w:ascii="Arial" w:hAnsi="Arial" w:cs="Arial"/>
          <w:bCs/>
          <w:sz w:val="20"/>
        </w:rPr>
        <w:t>Heat shock tolerance (measured as %Survival) comparison between the T1 strain (isolated after evolution at 40</w:t>
      </w:r>
      <w:r w:rsidRPr="00ED282A">
        <w:rPr>
          <w:rFonts w:ascii="Arial" w:hAnsi="Arial" w:cs="Arial"/>
          <w:color w:val="2A2A2A"/>
          <w:sz w:val="20"/>
        </w:rPr>
        <w:t>°C</w:t>
      </w:r>
      <w:r>
        <w:rPr>
          <w:rFonts w:ascii="Arial" w:hAnsi="Arial" w:cs="Arial"/>
          <w:bCs/>
          <w:sz w:val="20"/>
        </w:rPr>
        <w:t xml:space="preserve"> for ~300generations) and the S288c ancestor</w:t>
      </w:r>
      <w:r w:rsidRPr="00C967E4">
        <w:rPr>
          <w:rFonts w:ascii="Arial" w:hAnsi="Arial" w:cs="Arial"/>
          <w:bCs/>
          <w:sz w:val="20"/>
        </w:rPr>
        <w:t>. Error bars represent SD</w:t>
      </w:r>
      <w:r>
        <w:rPr>
          <w:rFonts w:ascii="Arial" w:hAnsi="Arial" w:cs="Arial"/>
          <w:bCs/>
          <w:sz w:val="20"/>
        </w:rPr>
        <w:t>.</w:t>
      </w:r>
    </w:p>
    <w:bookmarkEnd w:id="0"/>
    <w:p w14:paraId="0E782699" w14:textId="77777777" w:rsidR="00611B62" w:rsidRPr="00C967E4" w:rsidRDefault="00611B62" w:rsidP="00611B62">
      <w:pPr>
        <w:spacing w:line="244" w:lineRule="auto"/>
        <w:ind w:right="886"/>
        <w:rPr>
          <w:rFonts w:ascii="Arial" w:hAnsi="Arial" w:cs="Arial"/>
          <w:bCs/>
          <w:sz w:val="20"/>
        </w:rPr>
      </w:pPr>
    </w:p>
    <w:p w14:paraId="4653B86B" w14:textId="77777777" w:rsidR="00F76C63" w:rsidRDefault="008A068D"/>
    <w:sectPr w:rsidR="00F76C63">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160FC2" w14:textId="77777777" w:rsidR="008A068D" w:rsidRDefault="008A068D" w:rsidP="00715EC9">
      <w:r>
        <w:separator/>
      </w:r>
    </w:p>
  </w:endnote>
  <w:endnote w:type="continuationSeparator" w:id="0">
    <w:p w14:paraId="32AF6462" w14:textId="77777777" w:rsidR="008A068D" w:rsidRDefault="008A068D" w:rsidP="00715E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F864823" w14:textId="77777777" w:rsidR="008A068D" w:rsidRDefault="008A068D" w:rsidP="00715EC9">
      <w:r>
        <w:separator/>
      </w:r>
    </w:p>
  </w:footnote>
  <w:footnote w:type="continuationSeparator" w:id="0">
    <w:p w14:paraId="23E85C88" w14:textId="77777777" w:rsidR="008A068D" w:rsidRDefault="008A068D" w:rsidP="00715EC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1B62"/>
    <w:rsid w:val="00013A08"/>
    <w:rsid w:val="00013C74"/>
    <w:rsid w:val="000825E8"/>
    <w:rsid w:val="000B6F9C"/>
    <w:rsid w:val="004B3967"/>
    <w:rsid w:val="004C0438"/>
    <w:rsid w:val="004C79F6"/>
    <w:rsid w:val="005B2890"/>
    <w:rsid w:val="00611B62"/>
    <w:rsid w:val="00660F78"/>
    <w:rsid w:val="006C670F"/>
    <w:rsid w:val="006D3D9A"/>
    <w:rsid w:val="006F3DA5"/>
    <w:rsid w:val="007140C0"/>
    <w:rsid w:val="00715EC9"/>
    <w:rsid w:val="007638D8"/>
    <w:rsid w:val="0082675E"/>
    <w:rsid w:val="008A068D"/>
    <w:rsid w:val="009171BF"/>
    <w:rsid w:val="00964CC7"/>
    <w:rsid w:val="009736E2"/>
    <w:rsid w:val="0099388C"/>
    <w:rsid w:val="00A50CED"/>
    <w:rsid w:val="00A870F8"/>
    <w:rsid w:val="00B146F8"/>
    <w:rsid w:val="00C4422E"/>
    <w:rsid w:val="00D43B3D"/>
    <w:rsid w:val="00E90A89"/>
    <w:rsid w:val="00ED03E8"/>
    <w:rsid w:val="00ED14E3"/>
    <w:rsid w:val="00F20E51"/>
    <w:rsid w:val="00F265F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18AF0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11B62"/>
    <w:pPr>
      <w:spacing w:after="0" w:line="240" w:lineRule="auto"/>
    </w:pPr>
    <w:rPr>
      <w:rFonts w:ascii="Times New Roman" w:eastAsia="Times New Roman" w:hAnsi="Times New Roman" w:cs="Times New Roman"/>
      <w:sz w:val="24"/>
      <w:szCs w:val="20"/>
      <w:lang w:val="en-US"/>
    </w:rPr>
  </w:style>
  <w:style w:type="paragraph" w:styleId="Heading1">
    <w:name w:val="heading 1"/>
    <w:basedOn w:val="Normal"/>
    <w:next w:val="Normal"/>
    <w:link w:val="Heading1Char"/>
    <w:uiPriority w:val="9"/>
    <w:qFormat/>
    <w:rsid w:val="00611B62"/>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MHeading">
    <w:name w:val="SM Heading"/>
    <w:basedOn w:val="Heading1"/>
    <w:qFormat/>
    <w:rsid w:val="00611B62"/>
    <w:pPr>
      <w:keepLines w:val="0"/>
      <w:spacing w:after="60"/>
    </w:pPr>
    <w:rPr>
      <w:rFonts w:ascii="Times New Roman" w:eastAsia="Times New Roman" w:hAnsi="Times New Roman" w:cs="Times New Roman"/>
      <w:b/>
      <w:bCs/>
      <w:color w:val="auto"/>
      <w:kern w:val="32"/>
      <w:sz w:val="24"/>
      <w:szCs w:val="24"/>
    </w:rPr>
  </w:style>
  <w:style w:type="paragraph" w:styleId="BodyText">
    <w:name w:val="Body Text"/>
    <w:basedOn w:val="Normal"/>
    <w:link w:val="BodyTextChar"/>
    <w:semiHidden/>
    <w:rsid w:val="00611B62"/>
    <w:pPr>
      <w:spacing w:after="120"/>
    </w:pPr>
  </w:style>
  <w:style w:type="character" w:customStyle="1" w:styleId="BodyTextChar">
    <w:name w:val="Body Text Char"/>
    <w:basedOn w:val="DefaultParagraphFont"/>
    <w:link w:val="BodyText"/>
    <w:semiHidden/>
    <w:rsid w:val="00611B62"/>
    <w:rPr>
      <w:rFonts w:ascii="Times New Roman" w:eastAsia="Times New Roman" w:hAnsi="Times New Roman" w:cs="Times New Roman"/>
      <w:sz w:val="24"/>
      <w:szCs w:val="20"/>
      <w:lang w:val="en-US"/>
    </w:rPr>
  </w:style>
  <w:style w:type="character" w:customStyle="1" w:styleId="Heading1Char">
    <w:name w:val="Heading 1 Char"/>
    <w:basedOn w:val="DefaultParagraphFont"/>
    <w:link w:val="Heading1"/>
    <w:uiPriority w:val="9"/>
    <w:rsid w:val="00611B62"/>
    <w:rPr>
      <w:rFonts w:asciiTheme="majorHAnsi" w:eastAsiaTheme="majorEastAsia" w:hAnsiTheme="majorHAnsi" w:cstheme="majorBidi"/>
      <w:color w:val="2F5496" w:themeColor="accent1" w:themeShade="BF"/>
      <w:sz w:val="32"/>
      <w:szCs w:val="32"/>
      <w:lang w:val="en-US"/>
    </w:rPr>
  </w:style>
  <w:style w:type="table" w:styleId="TableGrid">
    <w:name w:val="Table Grid"/>
    <w:basedOn w:val="TableNormal"/>
    <w:uiPriority w:val="39"/>
    <w:rsid w:val="00013A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715EC9"/>
    <w:pPr>
      <w:tabs>
        <w:tab w:val="center" w:pos="4680"/>
        <w:tab w:val="right" w:pos="9360"/>
      </w:tabs>
    </w:pPr>
  </w:style>
  <w:style w:type="character" w:customStyle="1" w:styleId="HeaderChar">
    <w:name w:val="Header Char"/>
    <w:basedOn w:val="DefaultParagraphFont"/>
    <w:link w:val="Header"/>
    <w:uiPriority w:val="99"/>
    <w:rsid w:val="00715EC9"/>
    <w:rPr>
      <w:rFonts w:ascii="Times New Roman" w:eastAsia="Times New Roman" w:hAnsi="Times New Roman" w:cs="Times New Roman"/>
      <w:sz w:val="24"/>
      <w:szCs w:val="20"/>
      <w:lang w:val="en-US"/>
    </w:rPr>
  </w:style>
  <w:style w:type="paragraph" w:styleId="Footer">
    <w:name w:val="footer"/>
    <w:basedOn w:val="Normal"/>
    <w:link w:val="FooterChar"/>
    <w:uiPriority w:val="99"/>
    <w:unhideWhenUsed/>
    <w:rsid w:val="00715EC9"/>
    <w:pPr>
      <w:tabs>
        <w:tab w:val="center" w:pos="4680"/>
        <w:tab w:val="right" w:pos="9360"/>
      </w:tabs>
    </w:pPr>
  </w:style>
  <w:style w:type="character" w:customStyle="1" w:styleId="FooterChar">
    <w:name w:val="Footer Char"/>
    <w:basedOn w:val="DefaultParagraphFont"/>
    <w:link w:val="Footer"/>
    <w:uiPriority w:val="99"/>
    <w:rsid w:val="00715EC9"/>
    <w:rPr>
      <w:rFonts w:ascii="Times New Roman" w:eastAsia="Times New Roman" w:hAnsi="Times New Roman" w:cs="Times New Roman"/>
      <w:sz w:val="24"/>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oleObject" Target="embeddings/oleObject1.bin"/><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892</Words>
  <Characters>5089</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2021-12-23T14:43:00Z</dcterms:created>
  <dcterms:modified xsi:type="dcterms:W3CDTF">2021-12-23T14:43:00Z</dcterms:modified>
</cp:coreProperties>
</file>